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9" w:type="dxa"/>
        <w:tblLayout w:type="fixed"/>
        <w:tblCellMar>
          <w:left w:w="0" w:type="dxa"/>
          <w:right w:w="0" w:type="dxa"/>
        </w:tblCellMar>
        <w:tblLook w:val="04A0" w:firstRow="1" w:lastRow="0" w:firstColumn="1" w:lastColumn="0" w:noHBand="0" w:noVBand="1"/>
      </w:tblPr>
      <w:tblGrid>
        <w:gridCol w:w="573"/>
        <w:gridCol w:w="143"/>
        <w:gridCol w:w="144"/>
        <w:gridCol w:w="143"/>
        <w:gridCol w:w="3152"/>
        <w:gridCol w:w="430"/>
        <w:gridCol w:w="860"/>
        <w:gridCol w:w="1003"/>
        <w:gridCol w:w="429"/>
        <w:gridCol w:w="287"/>
        <w:gridCol w:w="287"/>
        <w:gridCol w:w="286"/>
        <w:gridCol w:w="573"/>
        <w:gridCol w:w="430"/>
        <w:gridCol w:w="573"/>
        <w:gridCol w:w="430"/>
        <w:gridCol w:w="143"/>
        <w:gridCol w:w="573"/>
        <w:gridCol w:w="574"/>
        <w:gridCol w:w="143"/>
        <w:gridCol w:w="1003"/>
        <w:gridCol w:w="143"/>
        <w:gridCol w:w="287"/>
        <w:gridCol w:w="716"/>
        <w:gridCol w:w="716"/>
        <w:gridCol w:w="430"/>
        <w:gridCol w:w="1132"/>
        <w:gridCol w:w="26"/>
      </w:tblGrid>
      <w:tr w:rsidR="00CF7180" w:rsidTr="00E80B21">
        <w:trPr>
          <w:trHeight w:hRule="exact" w:val="573"/>
        </w:trPr>
        <w:tc>
          <w:tcPr>
            <w:tcW w:w="15629" w:type="dxa"/>
            <w:gridSpan w:val="28"/>
          </w:tcPr>
          <w:p w:rsidR="00CF7180" w:rsidRDefault="00CF7180"/>
        </w:tc>
      </w:tr>
      <w:tr w:rsidR="00CF7180" w:rsidTr="00E80B21">
        <w:trPr>
          <w:trHeight w:hRule="exact" w:val="387"/>
        </w:trPr>
        <w:tc>
          <w:tcPr>
            <w:tcW w:w="15629" w:type="dxa"/>
            <w:gridSpan w:val="28"/>
            <w:shd w:val="clear" w:color="auto" w:fill="auto"/>
            <w:vAlign w:val="center"/>
          </w:tcPr>
          <w:p w:rsidR="00CF7180" w:rsidRDefault="00E80B21">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CF7180" w:rsidTr="00E80B21">
        <w:trPr>
          <w:trHeight w:hRule="exact" w:val="43"/>
        </w:trPr>
        <w:tc>
          <w:tcPr>
            <w:tcW w:w="15629" w:type="dxa"/>
            <w:gridSpan w:val="28"/>
          </w:tcPr>
          <w:p w:rsidR="00CF7180" w:rsidRDefault="00CF7180"/>
        </w:tc>
      </w:tr>
      <w:tr w:rsidR="00CF7180" w:rsidTr="00E80B21">
        <w:trPr>
          <w:trHeight w:hRule="exact" w:val="387"/>
        </w:trPr>
        <w:tc>
          <w:tcPr>
            <w:tcW w:w="15629" w:type="dxa"/>
            <w:gridSpan w:val="28"/>
            <w:shd w:val="clear" w:color="auto" w:fill="auto"/>
            <w:vAlign w:val="center"/>
          </w:tcPr>
          <w:p w:rsidR="00CF7180" w:rsidRDefault="00E80B21">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CF7180" w:rsidTr="00E80B21">
        <w:trPr>
          <w:trHeight w:hRule="exact" w:val="43"/>
        </w:trPr>
        <w:tc>
          <w:tcPr>
            <w:tcW w:w="15629" w:type="dxa"/>
            <w:gridSpan w:val="28"/>
          </w:tcPr>
          <w:p w:rsidR="00CF7180" w:rsidRDefault="00CF7180"/>
        </w:tc>
      </w:tr>
      <w:tr w:rsidR="00CF7180" w:rsidTr="00E80B21">
        <w:trPr>
          <w:trHeight w:hRule="exact" w:val="573"/>
        </w:trPr>
        <w:tc>
          <w:tcPr>
            <w:tcW w:w="15629" w:type="dxa"/>
            <w:gridSpan w:val="28"/>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Цифровая образовательная среда (Ямало-Ненецкий автономный округ)</w:t>
            </w:r>
          </w:p>
        </w:tc>
      </w:tr>
      <w:tr w:rsidR="00CF7180" w:rsidTr="00E80B21">
        <w:trPr>
          <w:trHeight w:hRule="exact" w:val="716"/>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CF7180" w:rsidTr="00E80B21">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44" w:type="dxa"/>
            <w:gridSpan w:val="2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w:t>
            </w:r>
          </w:p>
        </w:tc>
      </w:tr>
      <w:tr w:rsidR="00CF7180" w:rsidTr="00E80B21">
        <w:trPr>
          <w:trHeight w:hRule="exact" w:val="574"/>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(ЯНАО)</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307"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01.11.2018 - 30.12.2024</w:t>
            </w:r>
          </w:p>
        </w:tc>
      </w:tr>
      <w:tr w:rsidR="00CF7180" w:rsidTr="00E80B21">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44" w:type="dxa"/>
            <w:gridSpan w:val="2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Бучкова Татьяна Викторовна, Заместитель Губернатора Ямало-Ненецкого автономного округа</w:t>
            </w:r>
          </w:p>
        </w:tc>
      </w:tr>
      <w:tr w:rsidR="00CF7180" w:rsidTr="00E80B21">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44" w:type="dxa"/>
            <w:gridSpan w:val="2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Марина Владимировна, Директор департамента образования Ямало-Ненецкого автономного округа</w:t>
            </w:r>
          </w:p>
        </w:tc>
      </w:tr>
      <w:tr w:rsidR="00CF7180" w:rsidTr="00E80B21">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44" w:type="dxa"/>
            <w:gridSpan w:val="2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Яна Александровна,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r>
      <w:tr w:rsidR="00CF7180" w:rsidTr="00E80B21">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44" w:type="dxa"/>
            <w:gridSpan w:val="2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Ямало-Ненецкого автономного округа "Развитие образования на 2014 - 2021 годы"</w:t>
            </w:r>
          </w:p>
        </w:tc>
      </w:tr>
      <w:tr w:rsidR="00CF7180" w:rsidTr="00E80B21">
        <w:trPr>
          <w:trHeight w:hRule="exact" w:val="430"/>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CF7180" w:rsidTr="00E80B21">
        <w:trPr>
          <w:trHeight w:hRule="exact" w:val="573"/>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CF7180" w:rsidTr="00E80B21">
        <w:trPr>
          <w:trHeight w:hRule="exact" w:val="974"/>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(Ямало-Ненецкий автономный округ)</w:t>
            </w:r>
          </w:p>
        </w:tc>
      </w:tr>
      <w:tr w:rsidR="00CF7180" w:rsidTr="00E80B21">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89"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CF7180" w:rsidTr="00E80B21">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F7180" w:rsidTr="00E80B21">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CF7180" w:rsidTr="00E80B21">
        <w:trPr>
          <w:trHeight w:hRule="exact" w:val="256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муниципальных образований  ЯНАО,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ПРОЦ</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69,0000</w:t>
            </w:r>
          </w:p>
        </w:tc>
        <w:tc>
          <w:tcPr>
            <w:tcW w:w="115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CF7180" w:rsidTr="00E80B21">
        <w:trPr>
          <w:trHeight w:hRule="exact" w:val="429"/>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F7180" w:rsidTr="00E80B21">
        <w:trPr>
          <w:trHeight w:hRule="exact" w:val="574"/>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CF7180" w:rsidTr="00E80B21">
        <w:trPr>
          <w:trHeight w:hRule="exact" w:val="974"/>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CF7180" w:rsidTr="00E80B21">
        <w:trPr>
          <w:trHeight w:hRule="exact" w:val="194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15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F7180" w:rsidTr="00E80B21">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58"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573"/>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CF7180" w:rsidTr="00E80B21">
        <w:trPr>
          <w:trHeight w:hRule="exact" w:val="974"/>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r>
      <w:tr w:rsidR="00CF7180" w:rsidTr="00E80B21">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85,0000</w:t>
            </w:r>
          </w:p>
        </w:tc>
        <w:tc>
          <w:tcPr>
            <w:tcW w:w="115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95,0000</w:t>
            </w:r>
          </w:p>
        </w:tc>
      </w:tr>
      <w:tr w:rsidR="00CF7180" w:rsidTr="00E80B21">
        <w:trPr>
          <w:trHeight w:hRule="exact" w:val="16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58"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974"/>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r>
      <w:tr w:rsidR="00CF7180" w:rsidTr="00E80B21">
        <w:trPr>
          <w:trHeight w:hRule="exact" w:val="154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5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20,0000</w:t>
            </w:r>
          </w:p>
        </w:tc>
      </w:tr>
      <w:tr w:rsidR="00CF7180" w:rsidTr="00E80B21">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58"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29"/>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CF7180" w:rsidTr="00E80B21">
        <w:trPr>
          <w:trHeight w:hRule="exact" w:val="574"/>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CF7180" w:rsidTr="00E80B21">
        <w:trPr>
          <w:trHeight w:hRule="exact" w:val="974"/>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rsidR="00CF7180" w:rsidTr="00E80B21">
        <w:trPr>
          <w:trHeight w:hRule="exact" w:val="154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15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50,0000</w:t>
            </w:r>
          </w:p>
        </w:tc>
      </w:tr>
      <w:tr w:rsidR="00CF7180" w:rsidTr="00E80B21">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158"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CF7180" w:rsidTr="00E80B21">
        <w:trPr>
          <w:trHeight w:hRule="exact" w:val="573"/>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430"/>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w:t>
            </w:r>
            <w:r>
              <w:rPr>
                <w:rFonts w:ascii="Times New Roman" w:eastAsia="Times New Roman" w:hAnsi="Times New Roman" w:cs="Times New Roman"/>
                <w:color w:val="FFFFFF"/>
                <w:spacing w:val="-2"/>
                <w:sz w:val="24"/>
                <w:szCs w:val="24"/>
              </w:rPr>
              <w:t>0</w:t>
            </w:r>
          </w:p>
          <w:p w:rsidR="00CF7180" w:rsidRDefault="00CF7180"/>
        </w:tc>
      </w:tr>
      <w:tr w:rsidR="00CF7180" w:rsidTr="00E80B21">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13" w:type="dxa"/>
            <w:gridSpan w:val="2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w:t>
            </w:r>
          </w:p>
          <w:p w:rsidR="00CF7180" w:rsidRDefault="00CF7180"/>
        </w:tc>
      </w:tr>
      <w:tr w:rsidR="00CF7180" w:rsidTr="00E80B21">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информационных систем и интеграция с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Ямало-Ненецкого автономного округа, целевой модели цифровой образовательной среды</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Модернизация региональных информационных систем и интеграция с федеральной информационно-сервисной платформы цифровой образовательной среды, внедренной к концу 2024 года во всех муниципальных образованиях, направлено на реализацию целевой модели ЦОС в целях решения следующих задач: </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организационные и технические возможности для </w:t>
            </w:r>
            <w:r>
              <w:rPr>
                <w:rFonts w:ascii="Times New Roman" w:eastAsia="Times New Roman" w:hAnsi="Times New Roman" w:cs="Times New Roman"/>
                <w:spacing w:val="-2"/>
                <w:sz w:val="24"/>
                <w:szCs w:val="24"/>
              </w:rPr>
              <w:lastRenderedPageBreak/>
              <w:t>совершенствования управления образовательными организациями и сферой образования, в том числе оптимизировать и снизить издержки процессов управления деятельностью образовательных организаций, повысить транспарентность результатов деятельности образовательных организаций, повысить безопасность хранения персональных данных, а также снизить нагрузку в части ведения административно-хозяйственной и финансово-экономической деятельности и обеспечения учебного и воспитательного процесса;</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условия для активного применения цифровых сервисов и образовательного контента всеми участниками образовательного процесса, а также внедрить инструментарий для формирования ценностных установок и повышения мотивации к саморазвитию и самоопределению </w:t>
            </w:r>
          </w:p>
          <w:p w:rsidR="00CF7180" w:rsidRDefault="00CF7180"/>
        </w:tc>
      </w:tr>
      <w:tr w:rsidR="00CF7180" w:rsidTr="00E80B21">
        <w:trPr>
          <w:trHeight w:hRule="exact" w:val="21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УСЛ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УСЛ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УСЛ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УСЛ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УСЛ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УСЛ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21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CF7180" w:rsidRDefault="00CF7180"/>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29"/>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24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021"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CF7180" w:rsidRDefault="00CF7180">
            <w:pPr>
              <w:spacing w:line="230" w:lineRule="auto"/>
              <w:jc w:val="both"/>
              <w:rPr>
                <w:rFonts w:ascii="Times New Roman" w:eastAsia="Times New Roman" w:hAnsi="Times New Roman" w:cs="Times New Roman"/>
                <w:color w:val="000000"/>
                <w:spacing w:val="-2"/>
                <w:sz w:val="24"/>
              </w:rPr>
            </w:pP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CF7180">
            <w:pPr>
              <w:spacing w:line="230" w:lineRule="auto"/>
              <w:jc w:val="center"/>
              <w:rPr>
                <w:rFonts w:ascii="Times New Roman" w:eastAsia="Times New Roman" w:hAnsi="Times New Roman" w:cs="Times New Roman"/>
                <w:color w:val="000000"/>
                <w:spacing w:val="-2"/>
                <w:sz w:val="24"/>
              </w:rPr>
            </w:pP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профессиональной деятельности;</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сформировать сообщества «горизонтального обучения» среди обучающихся и педагогических работников, разработать систему фиксации «цифрового следа» и выстраивания индивидуальной траектории обучения для каждого обучающегося;</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онлайн-платформу открытого педагогического </w:t>
            </w:r>
            <w:r>
              <w:rPr>
                <w:rFonts w:ascii="Times New Roman" w:eastAsia="Times New Roman" w:hAnsi="Times New Roman" w:cs="Times New Roman"/>
                <w:spacing w:val="-2"/>
                <w:sz w:val="24"/>
                <w:szCs w:val="24"/>
              </w:rPr>
              <w:lastRenderedPageBreak/>
              <w:t>образования;</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сократить рабочее время педагогических работников на заполнение регулярной итоговой отчетности при использовании автоматизированных решений формирования отчетности, внедренных в федеральную информационно-сервисную платформу;</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интеграцию существующих решений, региональные информационные системы.</w:t>
            </w:r>
          </w:p>
          <w:p w:rsidR="00CF7180" w:rsidRDefault="00CF7180"/>
        </w:tc>
      </w:tr>
      <w:tr w:rsidR="00CF7180" w:rsidTr="00E80B21">
        <w:trPr>
          <w:trHeight w:hRule="exact" w:val="24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сеть центров цифрового образования детей, в том числе за счет федеральной поддержки не менее  7  центрах цифрового образования «IT-куб» с годовым охватом не менее 2800 детей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к концу 2024 года не менее 7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CF7180" w:rsidRDefault="00CF7180"/>
        </w:tc>
      </w:tr>
      <w:tr w:rsidR="00CF7180" w:rsidTr="00E80B21">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31.12.2020 - 3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31.12.2021 - 4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31.12.2022 - 5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31.12.2023 - 6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29"/>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E80B21" w:rsidP="00E80B21">
            <w:pPr>
              <w:spacing w:line="230" w:lineRule="auto"/>
              <w:rPr>
                <w:rFonts w:ascii="Times New Roman" w:eastAsia="Times New Roman" w:hAnsi="Times New Roman" w:cs="Times New Roman"/>
                <w:color w:val="000000"/>
                <w:spacing w:val="-2"/>
                <w:sz w:val="24"/>
              </w:rPr>
            </w:pPr>
            <w:r w:rsidRPr="00E80B21">
              <w:rPr>
                <w:rFonts w:ascii="Times New Roman" w:eastAsia="Times New Roman" w:hAnsi="Times New Roman" w:cs="Times New Roman"/>
                <w:color w:val="000000"/>
                <w:spacing w:val="-2"/>
                <w:sz w:val="24"/>
              </w:rPr>
              <w:t xml:space="preserve">Внедрение к концу 2024 года целевой модели ЦОС во всех муниципалитетах округа позволит создать условия для развития цифровизации образовательного процесса в </w:t>
            </w:r>
            <w:r w:rsidRPr="00E80B21">
              <w:rPr>
                <w:rFonts w:ascii="Times New Roman" w:eastAsia="Times New Roman" w:hAnsi="Times New Roman" w:cs="Times New Roman"/>
                <w:color w:val="000000"/>
                <w:spacing w:val="-2"/>
                <w:sz w:val="24"/>
              </w:rPr>
              <w:lastRenderedPageBreak/>
              <w:t>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E80B21" w:rsidP="00E80B21">
            <w:pPr>
              <w:spacing w:line="230" w:lineRule="auto"/>
              <w:rPr>
                <w:rFonts w:ascii="Times New Roman" w:eastAsia="Times New Roman" w:hAnsi="Times New Roman" w:cs="Times New Roman"/>
                <w:color w:val="000000"/>
                <w:spacing w:val="-2"/>
                <w:sz w:val="24"/>
              </w:rPr>
            </w:pPr>
            <w:r w:rsidRPr="00E80B21">
              <w:rPr>
                <w:rFonts w:ascii="Times New Roman" w:eastAsia="Times New Roman" w:hAnsi="Times New Roman" w:cs="Times New Roman"/>
                <w:color w:val="000000"/>
                <w:spacing w:val="-2"/>
                <w:sz w:val="24"/>
              </w:rPr>
              <w:t> </w:t>
            </w: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E80B21" w:rsidP="00E80B21">
            <w:pPr>
              <w:spacing w:line="230" w:lineRule="auto"/>
              <w:rPr>
                <w:rFonts w:ascii="Times New Roman" w:eastAsia="Times New Roman" w:hAnsi="Times New Roman" w:cs="Times New Roman"/>
                <w:color w:val="000000"/>
                <w:spacing w:val="-2"/>
                <w:sz w:val="24"/>
              </w:rPr>
            </w:pPr>
            <w:r w:rsidRPr="00E80B21">
              <w:rPr>
                <w:rFonts w:ascii="Times New Roman" w:eastAsia="Times New Roman" w:hAnsi="Times New Roman" w:cs="Times New Roman"/>
                <w:color w:val="000000"/>
                <w:spacing w:val="-2"/>
                <w:sz w:val="24"/>
              </w:rPr>
              <w:t>Значение динамики муниципальных образований,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Default="00CF7180" w:rsidP="00E80B21">
            <w:pPr>
              <w:spacing w:line="230" w:lineRule="auto"/>
              <w:rPr>
                <w:rFonts w:ascii="Times New Roman" w:eastAsia="Times New Roman" w:hAnsi="Times New Roman" w:cs="Times New Roman"/>
                <w:color w:val="000000"/>
                <w:spacing w:val="-2"/>
                <w:sz w:val="24"/>
              </w:rPr>
            </w:pPr>
          </w:p>
          <w:p w:rsidR="00CF7180" w:rsidRPr="00E80B21" w:rsidRDefault="00CF7180" w:rsidP="00E80B21">
            <w:pPr>
              <w:spacing w:line="230" w:lineRule="auto"/>
              <w:rPr>
                <w:rFonts w:ascii="Times New Roman" w:eastAsia="Times New Roman" w:hAnsi="Times New Roman" w:cs="Times New Roman"/>
                <w:color w:val="000000"/>
                <w:spacing w:val="-2"/>
                <w:sz w:val="24"/>
              </w:rPr>
            </w:pPr>
          </w:p>
        </w:tc>
      </w:tr>
      <w:tr w:rsidR="00CF7180" w:rsidTr="00E80B21">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31.12.2020 - 3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31.12.2021 - 5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31.12.2022 - 8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31.12.2023 - 11 ЕД</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31.12.2024 - 13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18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CF7180" w:rsidRDefault="00CF7180"/>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18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CF7180" w:rsidRDefault="00CF7180"/>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Создание современной и безопасной цифровой образовательной среды, обеспечивающей высокое качество и доступность образования всех видов и уровней </w:t>
            </w:r>
            <w:r>
              <w:rPr>
                <w:rFonts w:ascii="Times New Roman" w:eastAsia="Times New Roman" w:hAnsi="Times New Roman" w:cs="Times New Roman"/>
                <w:color w:val="FFFFFF"/>
                <w:spacing w:val="-2"/>
                <w:sz w:val="24"/>
                <w:szCs w:val="24"/>
              </w:rPr>
              <w:t>0</w:t>
            </w:r>
          </w:p>
          <w:p w:rsidR="00CF7180" w:rsidRDefault="00CF7180"/>
        </w:tc>
      </w:tr>
      <w:tr w:rsidR="00CF7180" w:rsidTr="00E80B21">
        <w:trPr>
          <w:trHeight w:hRule="exact" w:val="212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4913" w:type="dxa"/>
            <w:gridSpan w:val="2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 </w:t>
            </w:r>
          </w:p>
          <w:p w:rsidR="00CF7180" w:rsidRDefault="00CF7180" w:rsidP="00E80B21">
            <w:pPr>
              <w:spacing w:line="230" w:lineRule="auto"/>
              <w:jc w:val="both"/>
              <w:rPr>
                <w:rFonts w:ascii="Times New Roman" w:eastAsia="Times New Roman" w:hAnsi="Times New Roman" w:cs="Times New Roman"/>
                <w:color w:val="000000"/>
                <w:spacing w:val="-2"/>
                <w:sz w:val="24"/>
              </w:rPr>
            </w:pPr>
          </w:p>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представление информации об образовательных организациях, необходимой для всех участников образовательного процесса;</w:t>
            </w:r>
          </w:p>
          <w:p w:rsidR="00CF7180" w:rsidRDefault="00CF7180" w:rsidP="00E80B21">
            <w:pPr>
              <w:spacing w:line="230" w:lineRule="auto"/>
              <w:jc w:val="both"/>
              <w:rPr>
                <w:rFonts w:ascii="Times New Roman" w:eastAsia="Times New Roman" w:hAnsi="Times New Roman" w:cs="Times New Roman"/>
                <w:color w:val="000000"/>
                <w:spacing w:val="-2"/>
                <w:sz w:val="24"/>
              </w:rPr>
            </w:pPr>
          </w:p>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7 мая 2018 г. № 204.</w:t>
            </w:r>
          </w:p>
          <w:p w:rsidR="00CF7180" w:rsidRDefault="00CF7180" w:rsidP="00E80B21">
            <w:pPr>
              <w:spacing w:line="230" w:lineRule="auto"/>
              <w:jc w:val="both"/>
              <w:rPr>
                <w:rFonts w:ascii="Times New Roman" w:eastAsia="Times New Roman" w:hAnsi="Times New Roman" w:cs="Times New Roman"/>
                <w:color w:val="000000"/>
                <w:spacing w:val="-2"/>
                <w:sz w:val="24"/>
              </w:rPr>
            </w:pPr>
          </w:p>
          <w:p w:rsidR="00CF7180" w:rsidRDefault="00CF7180" w:rsidP="00E80B21">
            <w:pPr>
              <w:spacing w:line="184" w:lineRule="auto"/>
              <w:jc w:val="both"/>
              <w:rPr>
                <w:rFonts w:ascii="Times New Roman" w:eastAsia="Times New Roman" w:hAnsi="Times New Roman" w:cs="Times New Roman"/>
                <w:color w:val="000000"/>
                <w:spacing w:val="-2"/>
                <w:sz w:val="24"/>
              </w:rPr>
            </w:pPr>
          </w:p>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31.12.2022</w:t>
            </w:r>
          </w:p>
          <w:p w:rsidR="00CF7180" w:rsidRDefault="00CF7180"/>
        </w:tc>
      </w:tr>
      <w:tr w:rsidR="00CF7180" w:rsidTr="00E80B21">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913" w:type="dxa"/>
            <w:gridSpan w:val="26"/>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r w:rsidRPr="00E80B21">
              <w:rPr>
                <w:rFonts w:ascii="Times New Roman" w:eastAsia="Times New Roman" w:hAnsi="Times New Roman" w:cs="Times New Roman"/>
                <w:color w:val="000000"/>
                <w:spacing w:val="-2"/>
                <w:sz w:val="24"/>
              </w:rPr>
              <w:t xml:space="preserve">Обновление к концу 2022 года всеми образовательными </w:t>
            </w:r>
            <w:proofErr w:type="gramStart"/>
            <w:r w:rsidRPr="00E80B21">
              <w:rPr>
                <w:rFonts w:ascii="Times New Roman" w:eastAsia="Times New Roman" w:hAnsi="Times New Roman" w:cs="Times New Roman"/>
                <w:color w:val="000000"/>
                <w:spacing w:val="-2"/>
                <w:sz w:val="24"/>
              </w:rPr>
              <w:t>организациями</w:t>
            </w:r>
            <w:proofErr w:type="gramEnd"/>
            <w:r w:rsidRPr="00E80B21">
              <w:rPr>
                <w:rFonts w:ascii="Times New Roman" w:eastAsia="Times New Roman" w:hAnsi="Times New Roman" w:cs="Times New Roman"/>
                <w:color w:val="000000"/>
                <w:spacing w:val="-2"/>
                <w:sz w:val="24"/>
              </w:rPr>
              <w:t xml:space="preserve"> расположенными на территории ЯНАО информационных представительств в сети Интернет и иных общедоступных информационных ресурсов позволит: </w:t>
            </w:r>
          </w:p>
          <w:p w:rsidR="00CF7180" w:rsidRDefault="00E80B21">
            <w:pPr>
              <w:spacing w:line="230" w:lineRule="auto"/>
              <w:rPr>
                <w:rFonts w:ascii="Times New Roman" w:eastAsia="Times New Roman" w:hAnsi="Times New Roman" w:cs="Times New Roman"/>
                <w:color w:val="000000"/>
                <w:spacing w:val="-2"/>
                <w:sz w:val="24"/>
              </w:rPr>
            </w:pPr>
            <w:r w:rsidRPr="00E80B21">
              <w:rPr>
                <w:rFonts w:ascii="Times New Roman" w:eastAsia="Times New Roman" w:hAnsi="Times New Roman" w:cs="Times New Roman"/>
                <w:color w:val="000000"/>
                <w:spacing w:val="-2"/>
                <w:sz w:val="24"/>
              </w:rPr>
              <w:t>- обеспечить представление информации об образовательных организациях, необходимой для всех участников образовательного процесса;</w:t>
            </w:r>
          </w:p>
          <w:p w:rsidR="00CF7180" w:rsidRDefault="00E80B21">
            <w:pPr>
              <w:spacing w:line="230" w:lineRule="auto"/>
              <w:rPr>
                <w:rFonts w:ascii="Times New Roman" w:eastAsia="Times New Roman" w:hAnsi="Times New Roman" w:cs="Times New Roman"/>
                <w:color w:val="000000"/>
                <w:spacing w:val="-2"/>
                <w:sz w:val="24"/>
              </w:rPr>
            </w:pPr>
            <w:proofErr w:type="gramStart"/>
            <w:r w:rsidRPr="00E80B21">
              <w:rPr>
                <w:rFonts w:ascii="Times New Roman" w:eastAsia="Times New Roman" w:hAnsi="Times New Roman" w:cs="Times New Roman"/>
                <w:color w:val="000000"/>
                <w:spacing w:val="-2"/>
                <w:sz w:val="24"/>
              </w:rPr>
              <w:t xml:space="preserve">-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7 мая 2018 г. № 204 </w:t>
            </w:r>
            <w:proofErr w:type="gramEnd"/>
          </w:p>
          <w:p w:rsidR="00CF7180" w:rsidRDefault="00CF7180"/>
        </w:tc>
      </w:tr>
      <w:tr w:rsidR="00CF7180" w:rsidTr="00E80B21">
        <w:trPr>
          <w:trHeight w:hRule="exact" w:val="12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31.12.2019 - 20 ПРОЦ</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31.12.2020 - 40 ПРОЦ</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31.12.2021 - 70 ПРОЦ</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31.12.2022 - 100 ПРОЦ</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F7180" w:rsidTr="00E80B21">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25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14913" w:type="dxa"/>
            <w:gridSpan w:val="2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5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концу 2020 года квалификации не менее 5 тыс. работников, привлекаемых к образовательной деятельности, повысят уровень знаний, умений и навыков в области внедрения и использования современных цифровых технологий в образовании, в том числе в части онлайн-образования.</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Реализации серии образовательных мероприятий с работниками, привлекаемых к образовательной деятельности, позволит обеспечить приемственность реализуемых на федеральном уровне мер по развитию цифровой образовательной среды и общее повышение качества реализации образовательных программ с использованием современных информационных технологий.</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31.12.2020</w:t>
            </w:r>
          </w:p>
          <w:p w:rsidR="00CF7180" w:rsidRDefault="00CF7180"/>
        </w:tc>
      </w:tr>
      <w:tr w:rsidR="00CF7180" w:rsidTr="00E80B21">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50 человек, привлекаемых к образовательной деятельности, прошли повышение квалификации с целью повышения их компетенций в области современных технологий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Повышение к концу 2020 года квалификации не менее 50 работников ЯНАО, привлекаемых к образовательной деятельности, позволит обеспечить актуализацию знаний, умений и навыков ведущего кадрового состава системы образования в части внедрения и использования современных цифровых технологий в образовании</w:t>
            </w:r>
          </w:p>
          <w:p w:rsidR="00CF7180" w:rsidRDefault="00CF7180"/>
        </w:tc>
      </w:tr>
      <w:tr w:rsidR="00CF7180" w:rsidTr="00E80B21">
        <w:trPr>
          <w:trHeight w:hRule="exact" w:val="70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ТЫС ЧЕЛ</w:t>
            </w:r>
          </w:p>
          <w:p w:rsidR="00CF7180" w:rsidRDefault="00E80B21" w:rsidP="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31.12.2020 - 50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255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13" w:type="dxa"/>
            <w:gridSpan w:val="2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Обеспечение свободного доступа по принципу "одного окна" позволит обеспечить доступность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а также будет способствовать развитию образовательных платформам и цифровых сервисов.</w:t>
            </w:r>
            <w:r>
              <w:rPr>
                <w:rFonts w:ascii="Times New Roman" w:eastAsia="Times New Roman" w:hAnsi="Times New Roman" w:cs="Times New Roman"/>
                <w:spacing w:val="-2"/>
                <w:sz w:val="6"/>
                <w:szCs w:val="6"/>
              </w:rPr>
              <w:t xml:space="preserve">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31.12.2019</w:t>
            </w:r>
          </w:p>
          <w:p w:rsidR="00CF7180" w:rsidRDefault="00CF7180"/>
        </w:tc>
      </w:tr>
      <w:tr w:rsidR="00CF7180" w:rsidTr="00E80B21">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r>
      <w:tr w:rsidR="00CF7180" w:rsidTr="00E80B21">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ДОКУМ</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13" w:type="dxa"/>
            <w:gridSpan w:val="2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Внедрение к концу 2024 года в основные образовательные программы современных цифровых технологий, для не менее чем 500 тыс. детей, обучающихся в 25% общеобразовательных организаций 75 субъектов Российской Федерации, позволит:</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усовершенствовать образовательный процесс по отдельным предметным областям путем внедрения современных цифровых технологий;</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предоставить возможность обучающимся использовать технологии виртуальной и дополненной реальности, цифровых двойников и другие технологии в освоении отдельных предметных областей;</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условия для подготовки высококвалифицированных кадров, обладающих актуальными компетенциями в сфере современных технологий.</w:t>
            </w: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pPr>
              <w:spacing w:line="184"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CF7180" w:rsidRDefault="00CF7180"/>
        </w:tc>
      </w:tr>
      <w:tr w:rsidR="00CF7180" w:rsidTr="00E80B21">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913" w:type="dxa"/>
            <w:gridSpan w:val="26"/>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913" w:type="dxa"/>
            <w:gridSpan w:val="26"/>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CF7180" w:rsidTr="00E80B21">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не менее 10 000 детей в 25 % общеобразовательных организаций, расположенных на территории  ЯНАО,  внедрены в основные общеобразовательные программы современные цифровые технологий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F7180" w:rsidRDefault="00CF7180">
            <w:pPr>
              <w:spacing w:line="230" w:lineRule="auto"/>
              <w:rPr>
                <w:rFonts w:ascii="Times New Roman" w:eastAsia="Times New Roman" w:hAnsi="Times New Roman" w:cs="Times New Roman"/>
                <w:color w:val="000000"/>
                <w:spacing w:val="-2"/>
                <w:sz w:val="24"/>
              </w:rPr>
            </w:pPr>
          </w:p>
          <w:p w:rsidR="00CF7180" w:rsidRDefault="00CF7180"/>
        </w:tc>
      </w:tr>
      <w:tr w:rsidR="00CF7180" w:rsidTr="00E80B21">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31.12.2020 - 1.8 ТЫС ЧЕЛ</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31.12.2021 - 3.6 ТЫС ЧЕЛ</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31.12.2022 - 5 ТЫС ЧЕЛ</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31.12.2023 - 7 ТЫС ЧЕЛ</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 ТЫС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29"/>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CF7180" w:rsidTr="00E80B21">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F7180" w:rsidTr="00E80B21">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F7180" w:rsidTr="00E80B21">
        <w:trPr>
          <w:trHeight w:hRule="exact" w:val="22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913" w:type="dxa"/>
            <w:gridSpan w:val="2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к концу 2024 года во всех субъектах Российской Федерации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w:t>
            </w:r>
            <w:r>
              <w:rPr>
                <w:rFonts w:ascii="Times New Roman" w:eastAsia="Times New Roman" w:hAnsi="Times New Roman" w:cs="Times New Roman"/>
                <w:spacing w:val="-2"/>
                <w:sz w:val="24"/>
                <w:szCs w:val="24"/>
              </w:rPr>
              <w:lastRenderedPageBreak/>
              <w:t>управление в сфере образования позволит:</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эффективно внедрить целевую модель ЦОС в субъектах Российской Федерации;</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сформировать региональные управленческие команды, мотивированные в продвижении и развитии цифровой образовательной среды в субъектах Российской Федерации;</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профессиональным кадровым составом процесс реализации мероприятий настоящего федерального проекта.</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CF7180" w:rsidRDefault="00CF7180"/>
        </w:tc>
      </w:tr>
      <w:tr w:rsidR="00CF7180" w:rsidTr="00E80B21">
        <w:trPr>
          <w:trHeight w:hRule="exact" w:val="22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913" w:type="dxa"/>
            <w:gridSpan w:val="26"/>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территории  ЯНАО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к концу 2024 года на территории  ЯНАО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позволит:</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эффективно внедрить целевую модель ЦОС в субъектах Российской Федерации;</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сформировать региональные управленческие команды, мотивированные в продвижении и развитии цифровой образовательной среды в субъектах Российской Федерации;</w:t>
            </w:r>
          </w:p>
          <w:p w:rsidR="00CF7180" w:rsidRDefault="00CF7180">
            <w:pPr>
              <w:spacing w:line="230" w:lineRule="auto"/>
              <w:rPr>
                <w:rFonts w:ascii="Times New Roman" w:eastAsia="Times New Roman" w:hAnsi="Times New Roman" w:cs="Times New Roman"/>
                <w:color w:val="000000"/>
                <w:spacing w:val="-2"/>
                <w:sz w:val="24"/>
              </w:rPr>
            </w:pP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профессиональным кадровым составом процесс реализации мероприятий настоящего регионального проекта</w:t>
            </w:r>
          </w:p>
          <w:p w:rsidR="00CF7180" w:rsidRDefault="00CF7180"/>
        </w:tc>
      </w:tr>
      <w:tr w:rsidR="00CF7180" w:rsidTr="00E80B21">
        <w:trPr>
          <w:trHeight w:hRule="exact" w:val="20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ДОКУМ</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6316" w:type="dxa"/>
            <w:gridSpan w:val="1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429"/>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CF7180" w:rsidTr="00E80B21">
        <w:trPr>
          <w:trHeight w:hRule="exact" w:val="144"/>
        </w:trPr>
        <w:tc>
          <w:tcPr>
            <w:tcW w:w="860" w:type="dxa"/>
            <w:gridSpan w:val="3"/>
            <w:shd w:val="clear" w:color="auto" w:fill="auto"/>
          </w:tcPr>
          <w:p w:rsidR="00CF7180" w:rsidRDefault="00E80B21">
            <w:pPr>
              <w:spacing w:line="230" w:lineRule="auto"/>
              <w:rPr>
                <w:rFonts w:ascii="Arial" w:eastAsia="Arial" w:hAnsi="Arial" w:cs="Arial"/>
                <w:spacing w:val="-2"/>
                <w:sz w:val="16"/>
              </w:rPr>
            </w:pPr>
            <w:r>
              <w:rPr>
                <w:rFonts w:ascii="Arial" w:eastAsia="Arial" w:hAnsi="Arial" w:cs="Arial"/>
                <w:spacing w:val="-2"/>
                <w:sz w:val="16"/>
              </w:rPr>
              <w:t>0</w:t>
            </w:r>
          </w:p>
        </w:tc>
        <w:tc>
          <w:tcPr>
            <w:tcW w:w="14769" w:type="dxa"/>
            <w:gridSpan w:val="25"/>
            <w:shd w:val="clear" w:color="auto" w:fill="auto"/>
            <w:vAlign w:val="center"/>
          </w:tcPr>
          <w:p w:rsidR="00CF7180" w:rsidRDefault="00CF7180"/>
        </w:tc>
      </w:tr>
      <w:tr w:rsidR="00CF7180" w:rsidTr="00E80B21">
        <w:trPr>
          <w:trHeight w:hRule="exact" w:val="430"/>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CF7180" w:rsidRDefault="00CF7180"/>
        </w:tc>
      </w:tr>
      <w:tr w:rsidR="00CF7180" w:rsidTr="00E80B21">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F7180" w:rsidTr="00E80B21">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429"/>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CF7180" w:rsidRDefault="00CF7180"/>
        </w:tc>
        <w:tc>
          <w:tcPr>
            <w:tcW w:w="14626" w:type="dxa"/>
            <w:gridSpan w:val="2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w:t>
            </w:r>
            <w:r>
              <w:rPr>
                <w:rFonts w:ascii="Times New Roman" w:eastAsia="Times New Roman" w:hAnsi="Times New Roman" w:cs="Times New Roman"/>
                <w:color w:val="FFFFFF"/>
                <w:spacing w:val="-2"/>
                <w:sz w:val="24"/>
                <w:szCs w:val="24"/>
              </w:rPr>
              <w:t>0</w:t>
            </w:r>
          </w:p>
          <w:p w:rsidR="00CF7180" w:rsidRDefault="00CF7180"/>
        </w:tc>
      </w:tr>
      <w:tr w:rsidR="00CF7180" w:rsidTr="00E80B21">
        <w:trPr>
          <w:trHeight w:hRule="exact" w:val="282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информационных систем и интеграция с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Ямало-Ненецкого автономного округа, целевой модели цифровой образовательной среды</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85,30</w:t>
            </w:r>
          </w:p>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85,30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85,30</w:t>
            </w:r>
          </w:p>
        </w:tc>
      </w:tr>
      <w:tr w:rsidR="00CF7180" w:rsidTr="00E80B21">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CF7180" w:rsidTr="00E80B21">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F7180" w:rsidTr="00E80B21">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сеть центров цифрового образования детей, в том числе за счет федеральной поддержки не менее  7  центрах цифрового образования «IT-куб» с годовым охватом не менее 2800 детей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126,00</w:t>
            </w:r>
          </w:p>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126,00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119,52</w:t>
            </w:r>
          </w:p>
        </w:tc>
      </w:tr>
      <w:tr w:rsidR="00CF7180" w:rsidTr="00E80B21">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119,52</w:t>
            </w:r>
          </w:p>
        </w:tc>
      </w:tr>
      <w:tr w:rsidR="00CF7180" w:rsidTr="00E80B21">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126,00</w:t>
            </w:r>
          </w:p>
        </w:tc>
      </w:tr>
      <w:tr w:rsidR="00CF7180" w:rsidTr="00E80B21">
        <w:trPr>
          <w:trHeight w:hRule="exact" w:val="17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CF7180" w:rsidTr="00E80B21">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F7180" w:rsidTr="00E80B21">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76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132,00</w:t>
            </w:r>
          </w:p>
        </w:tc>
      </w:tr>
      <w:tr w:rsidR="00CF7180" w:rsidTr="00E80B21">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132,00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27,32</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124,84</w:t>
            </w:r>
          </w:p>
        </w:tc>
      </w:tr>
      <w:tr w:rsidR="00CF7180" w:rsidTr="00E80B21">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27,32</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124,84</w:t>
            </w:r>
          </w:p>
        </w:tc>
      </w:tr>
      <w:tr w:rsidR="00CF7180" w:rsidTr="00E80B21">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132,00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r>
      <w:tr w:rsidR="00CF7180" w:rsidTr="00E80B21">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F7180" w:rsidTr="00E80B21">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CF7180" w:rsidRDefault="00CF7180"/>
        </w:tc>
        <w:tc>
          <w:tcPr>
            <w:tcW w:w="14626" w:type="dxa"/>
            <w:gridSpan w:val="2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r>
              <w:rPr>
                <w:rFonts w:ascii="Times New Roman" w:eastAsia="Times New Roman" w:hAnsi="Times New Roman" w:cs="Times New Roman"/>
                <w:color w:val="FFFFFF"/>
                <w:spacing w:val="-2"/>
                <w:sz w:val="24"/>
                <w:szCs w:val="24"/>
              </w:rPr>
              <w:t>0</w:t>
            </w:r>
          </w:p>
          <w:p w:rsidR="00CF7180" w:rsidRDefault="00CF7180"/>
        </w:tc>
      </w:tr>
      <w:tr w:rsidR="00CF7180" w:rsidTr="00E80B21">
        <w:trPr>
          <w:trHeight w:hRule="exact" w:val="1548"/>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территории  ЯНАО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143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533"/>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CF7180" w:rsidTr="00E80B21">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F7180" w:rsidTr="00E80B21">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F7180" w:rsidTr="00E80B21">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6"/>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343,30</w:t>
            </w:r>
          </w:p>
        </w:tc>
      </w:tr>
      <w:tr w:rsidR="00CF7180" w:rsidTr="00E80B21">
        <w:trPr>
          <w:trHeight w:hRule="exact" w:val="1146"/>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трансферты бюджету) (Ямало-Ненецкий автономный округ)</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717"/>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343,30</w:t>
            </w:r>
          </w:p>
        </w:tc>
      </w:tr>
      <w:tr w:rsidR="00CF7180" w:rsidTr="00E80B21">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57,32</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329,66</w:t>
            </w:r>
          </w:p>
        </w:tc>
      </w:tr>
      <w:tr w:rsidR="00CF7180" w:rsidTr="00E80B21">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73,26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44,42</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244,36</w:t>
            </w:r>
          </w:p>
        </w:tc>
      </w:tr>
      <w:tr w:rsidR="00CF7180" w:rsidTr="00E80B21">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субъектов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w:t>
            </w:r>
          </w:p>
        </w:tc>
      </w:tr>
      <w:tr w:rsidR="00CF7180" w:rsidTr="00E80B21">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F7180" w:rsidTr="00E80B21">
        <w:trPr>
          <w:trHeight w:hRule="exact" w:val="430"/>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143"/>
        </w:trPr>
        <w:tc>
          <w:tcPr>
            <w:tcW w:w="860" w:type="dxa"/>
            <w:gridSpan w:val="3"/>
            <w:shd w:val="clear" w:color="auto" w:fill="auto"/>
          </w:tcPr>
          <w:p w:rsidR="00CF7180" w:rsidRDefault="00E80B21">
            <w:pPr>
              <w:spacing w:line="230" w:lineRule="auto"/>
              <w:rPr>
                <w:rFonts w:ascii="Arial" w:eastAsia="Arial" w:hAnsi="Arial" w:cs="Arial"/>
                <w:spacing w:val="-2"/>
                <w:sz w:val="16"/>
              </w:rPr>
            </w:pPr>
            <w:r>
              <w:rPr>
                <w:rFonts w:ascii="Arial" w:eastAsia="Arial" w:hAnsi="Arial" w:cs="Arial"/>
                <w:spacing w:val="-2"/>
                <w:sz w:val="16"/>
              </w:rPr>
              <w:t>0</w:t>
            </w:r>
          </w:p>
        </w:tc>
        <w:tc>
          <w:tcPr>
            <w:tcW w:w="14769" w:type="dxa"/>
            <w:gridSpan w:val="25"/>
            <w:shd w:val="clear" w:color="auto" w:fill="auto"/>
            <w:vAlign w:val="center"/>
          </w:tcPr>
          <w:p w:rsidR="00CF7180" w:rsidRDefault="00CF7180"/>
        </w:tc>
      </w:tr>
      <w:tr w:rsidR="00CF7180" w:rsidTr="00E80B21">
        <w:trPr>
          <w:trHeight w:hRule="exact" w:val="430"/>
        </w:trPr>
        <w:tc>
          <w:tcPr>
            <w:tcW w:w="15629" w:type="dxa"/>
            <w:gridSpan w:val="28"/>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CF7180" w:rsidRDefault="00CF7180"/>
        </w:tc>
      </w:tr>
      <w:tr w:rsidR="00CF7180" w:rsidTr="00E80B21">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CF7180" w:rsidTr="00E80B21">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CF7180" w:rsidTr="00E80B21">
        <w:trPr>
          <w:trHeight w:hRule="exact" w:val="573"/>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CF7180" w:rsidRDefault="00CF7180"/>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Марина Владимировна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директора департамента - начальник управления государственного контроля (надзора) в сфере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Марина Владимировна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975"/>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Модернизация региональных информационных систем и интеграция с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Ямало-Ненецкого автономного округа, целевой модели цифровой образовательной среды</w:t>
            </w:r>
          </w:p>
          <w:p w:rsidR="00CF7180" w:rsidRDefault="00CF7180"/>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Татьяна Викторовна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регионального развития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сеть центров цифрового образования детей, в том числе за счет федеральной поддержки не менее 7 центрах цифрового образования «IT-куб» с годовым охватом не менее 2800 детей</w:t>
            </w:r>
          </w:p>
          <w:p w:rsidR="00CF7180" w:rsidRDefault="00CF7180"/>
        </w:tc>
      </w:tr>
      <w:tr w:rsidR="00CF7180" w:rsidTr="00E80B21">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Татьяна Викторовна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управления - начальник отдела общего и профессионального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Ныкышов М. Б.</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Кононенко И. Л.</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Снычева М.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Подорога А. 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Садыкова Г. Ш.</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 «Управление образования Администрации города Губкинского»</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Фатеева С.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Романов А.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Терещенко М. О.</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CF7180" w:rsidTr="00E80B21">
        <w:trPr>
          <w:trHeight w:hRule="exact" w:val="717"/>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муниципальных образованиях</w:t>
            </w:r>
          </w:p>
          <w:p w:rsidR="00CF7180" w:rsidRDefault="00CF7180"/>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Татьяна Викторовна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Яровенко В.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Трисорука И.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Линденгольц А. Ю.</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Терещенко М. О.</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Васильева С.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 Администрации Пуровского района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Шелякин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Тетерина А. Э.</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Паршаков В. П.</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Усольцева Е.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Горбанева М.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Фатеева С.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Романов А.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Голозубов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Шарикова А.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управления образования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Садыкова Г. Ш.</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 «Управление образования Администрации города Губкинского»</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Уфимцева С.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Марченко Л.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Снычева М.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Подорога А. 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управления - начальник отдела общего и профессионального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429"/>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Ныкышов М. Б.</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Кононенко И. Л.</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rsidP="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Муратова Л.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муниципального учреждения  «Управление образования Администрации города Лабытнанги»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CF7180" w:rsidRDefault="00CF7180"/>
        </w:tc>
      </w:tr>
      <w:tr w:rsidR="00CF7180" w:rsidTr="00E80B21">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Шарикова А.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управления образования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Тетерина А. Э.</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Паршаков В. П.</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Снычева М.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Подорога А. 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регионального развития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Садыкова Г. Ш.</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 «Управление образования Администрации города Губкинского»</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Уфимцева С.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Терещенко М. О.</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Муратова Л.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муниципального учреждения  «Управление образования Администрации города Лабытнанги»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Васильева С.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 Администрации Пуровского района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Фатеева С.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Романов А.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Горбанева М.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Усольцева Е.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Марченко Л.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Ныкышов М. Б.</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Кононенко И. Л.</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50 человек, привлекаемых к образовательной деятельности, прошли повышение квалификации с целью повышения их компетенций в области современных технологий</w:t>
            </w:r>
          </w:p>
          <w:p w:rsidR="00CF7180" w:rsidRDefault="00CF7180"/>
        </w:tc>
      </w:tr>
      <w:tr w:rsidR="00CF7180" w:rsidTr="00E80B21">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Шарикова А.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управления образования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Усольцева Е.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Фатеева С.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Романов А.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Терещенко М. О.</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Ныкышов М. Б.</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Кононенко И. Л.</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Уфимцева С.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Снычева М.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Подорога А. 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управления - начальник отдела общего и профессионального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CF7180" w:rsidTr="00E80B21">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Садыкова Г. Ш.</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 «Управление образования Администрации города Губкинского»</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Марченко Л.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Муратова Л.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муниципального учреждения  «Управление образования Администрации города Лабытнанги»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Васильева С.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 Администрации Пуровского района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Тетерина А. Э.</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Паршаков В. П.</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Горбанева М.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Для не менее 10 000 детей в 25 % общеобразовательных организаций, расположенных на территории ЯНАО, внедрены в основные общеобразовательные программы современные цифровые технологий</w:t>
            </w:r>
          </w:p>
          <w:p w:rsidR="00CF7180" w:rsidRDefault="00CF7180"/>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образования Ямало-Ненецкого автономного округа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Бучкова</w:t>
            </w:r>
            <w:proofErr w:type="spellEnd"/>
            <w:r>
              <w:rPr>
                <w:rFonts w:ascii="Times New Roman" w:eastAsia="Times New Roman" w:hAnsi="Times New Roman" w:cs="Times New Roman"/>
                <w:color w:val="000000"/>
                <w:spacing w:val="-2"/>
                <w:sz w:val="24"/>
              </w:rPr>
              <w:t xml:space="preserve"> Т.В.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F7180" w:rsidTr="00E80B21">
        <w:trPr>
          <w:trHeight w:hRule="exact" w:val="975"/>
        </w:trPr>
        <w:tc>
          <w:tcPr>
            <w:tcW w:w="15629"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 территории ЯНАО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p w:rsidR="00CF7180" w:rsidRDefault="00CF7180"/>
        </w:tc>
      </w:tr>
      <w:tr w:rsidR="00CF7180" w:rsidTr="00E80B21">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Яровенко В.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Голозубов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Марченко Л.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Горбанева М.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Терещенко М. О.</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Снычева М.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Подорога А. А.</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Линденгольц А. Ю.</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Ныкышов М. Б.</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Кононенко И. Л.</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регионального развития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Трисорука И.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Садыкова Г. Ш.</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 «Управление образования Администрации города Губкинского»</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Шелякин А. С.</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Тетерина А. Э.</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Паршаков В. П.</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Левашова Е. Л.</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Усольцева Е.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Муратова Л.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муниципального учреждения  «Управление образования Администрации города Лабытнанги»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Шарикова А.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Начальник управления образования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Фатеева С. И.</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Романов А. В.</w:t>
            </w: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Васильева С. М.</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 образования Администрации Пуровского района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управления - начальник отдела общего и профессионального образования</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F7180" w:rsidTr="00E80B21">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Уфимцева С. 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2304"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trHeight w:hRule="exact" w:val="430"/>
        </w:trPr>
        <w:tc>
          <w:tcPr>
            <w:tcW w:w="15629" w:type="dxa"/>
            <w:gridSpan w:val="28"/>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F7180" w:rsidTr="00E80B21">
        <w:trPr>
          <w:trHeight w:hRule="exact" w:val="559"/>
        </w:trPr>
        <w:tc>
          <w:tcPr>
            <w:tcW w:w="15629" w:type="dxa"/>
            <w:gridSpan w:val="28"/>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CF7180" w:rsidTr="00E80B21">
        <w:trPr>
          <w:trHeight w:hRule="exact" w:val="14"/>
        </w:trPr>
        <w:tc>
          <w:tcPr>
            <w:tcW w:w="15603" w:type="dxa"/>
            <w:gridSpan w:val="27"/>
            <w:tcBorders>
              <w:bottom w:val="single" w:sz="5" w:space="0" w:color="000000"/>
            </w:tcBorders>
          </w:tcPr>
          <w:p w:rsidR="00CF7180" w:rsidRDefault="00CF7180"/>
        </w:tc>
        <w:tc>
          <w:tcPr>
            <w:tcW w:w="26" w:type="dxa"/>
          </w:tcPr>
          <w:p w:rsidR="00CF7180" w:rsidRDefault="00CF7180"/>
        </w:tc>
      </w:tr>
      <w:tr w:rsidR="00CF7180" w:rsidTr="00E80B21">
        <w:trPr>
          <w:trHeight w:hRule="exact" w:val="1476"/>
        </w:trPr>
        <w:tc>
          <w:tcPr>
            <w:tcW w:w="15603"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F7180" w:rsidRDefault="00E80B21">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r>
              <w:rPr>
                <w:rFonts w:ascii="Times New Roman" w:eastAsia="Times New Roman" w:hAnsi="Times New Roman" w:cs="Times New Roman"/>
                <w:spacing w:val="-2"/>
                <w:sz w:val="24"/>
                <w:szCs w:val="24"/>
              </w:rPr>
              <w:t>Региональный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r>
              <w:rPr>
                <w:rFonts w:ascii="Times New Roman" w:eastAsia="Times New Roman" w:hAnsi="Times New Roman" w:cs="Times New Roman"/>
                <w:spacing w:val="-2"/>
                <w:sz w:val="6"/>
                <w:szCs w:val="6"/>
              </w:rPr>
              <w:t xml:space="preserve"> </w:t>
            </w:r>
            <w:r>
              <w:rPr>
                <w:rFonts w:ascii="Times New Roman" w:eastAsia="Times New Roman" w:hAnsi="Times New Roman" w:cs="Times New Roman"/>
                <w:spacing w:val="-2"/>
                <w:sz w:val="24"/>
                <w:szCs w:val="24"/>
              </w:rPr>
              <w:t>Результаты реализации настоящего регионального проекта окажут существенное влияние на оптимизацию деятельности образовательных организаций, а также обеспечит создание условий для глобальной конкурентоспособности российского образования, обеспечения высокого качества обучения, направленных на улучшение качества жизни в каждом регионе</w:t>
            </w:r>
          </w:p>
          <w:p w:rsidR="00CF7180" w:rsidRDefault="00CF7180"/>
        </w:tc>
        <w:tc>
          <w:tcPr>
            <w:tcW w:w="26" w:type="dxa"/>
            <w:tcBorders>
              <w:left w:val="single" w:sz="5" w:space="0" w:color="000000"/>
            </w:tcBorders>
          </w:tcPr>
          <w:p w:rsidR="00CF7180" w:rsidRDefault="00CF7180"/>
        </w:tc>
      </w:tr>
      <w:tr w:rsidR="00CF7180" w:rsidTr="00E80B21">
        <w:trPr>
          <w:trHeight w:hRule="exact" w:val="430"/>
        </w:trPr>
        <w:tc>
          <w:tcPr>
            <w:tcW w:w="15629" w:type="dxa"/>
            <w:gridSpan w:val="28"/>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bl>
    <w:p w:rsidR="00E80B21" w:rsidRDefault="00E80B21">
      <w:r>
        <w:br w:type="page"/>
      </w:r>
    </w:p>
    <w:tbl>
      <w:tblPr>
        <w:tblW w:w="5000" w:type="pct"/>
        <w:tblCellMar>
          <w:left w:w="0" w:type="dxa"/>
          <w:right w:w="0" w:type="dxa"/>
        </w:tblCellMar>
        <w:tblLook w:val="04A0" w:firstRow="1" w:lastRow="0" w:firstColumn="1" w:lastColumn="0" w:noHBand="0" w:noVBand="1"/>
      </w:tblPr>
      <w:tblGrid>
        <w:gridCol w:w="259"/>
        <w:gridCol w:w="410"/>
        <w:gridCol w:w="322"/>
        <w:gridCol w:w="121"/>
        <w:gridCol w:w="3076"/>
        <w:gridCol w:w="1204"/>
        <w:gridCol w:w="605"/>
        <w:gridCol w:w="1251"/>
        <w:gridCol w:w="9"/>
        <w:gridCol w:w="1245"/>
        <w:gridCol w:w="762"/>
        <w:gridCol w:w="1544"/>
        <w:gridCol w:w="59"/>
        <w:gridCol w:w="602"/>
        <w:gridCol w:w="1056"/>
        <w:gridCol w:w="1372"/>
        <w:gridCol w:w="1101"/>
        <w:gridCol w:w="684"/>
      </w:tblGrid>
      <w:tr w:rsidR="00CF7180" w:rsidTr="00E80B21">
        <w:trPr>
          <w:gridBefore w:val="1"/>
          <w:wBefore w:w="89" w:type="pct"/>
          <w:trHeight w:hRule="exact" w:val="573"/>
        </w:trPr>
        <w:tc>
          <w:tcPr>
            <w:tcW w:w="3601" w:type="pct"/>
            <w:gridSpan w:val="13"/>
          </w:tcPr>
          <w:p w:rsidR="00CF7180" w:rsidRDefault="00CF7180"/>
        </w:tc>
        <w:tc>
          <w:tcPr>
            <w:tcW w:w="1309" w:type="pct"/>
            <w:gridSpan w:val="4"/>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CF7180" w:rsidTr="00E80B21">
        <w:trPr>
          <w:gridBefore w:val="1"/>
          <w:wBefore w:w="89" w:type="pct"/>
          <w:trHeight w:hRule="exact" w:val="573"/>
        </w:trPr>
        <w:tc>
          <w:tcPr>
            <w:tcW w:w="3601" w:type="pct"/>
            <w:gridSpan w:val="13"/>
          </w:tcPr>
          <w:p w:rsidR="00CF7180" w:rsidRDefault="00CF7180"/>
        </w:tc>
        <w:tc>
          <w:tcPr>
            <w:tcW w:w="1309" w:type="pct"/>
            <w:gridSpan w:val="4"/>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(ЯНАО)</w:t>
            </w:r>
          </w:p>
        </w:tc>
      </w:tr>
      <w:tr w:rsidR="00CF7180" w:rsidTr="00E80B21">
        <w:trPr>
          <w:gridBefore w:val="1"/>
          <w:wBefore w:w="89" w:type="pct"/>
          <w:trHeight w:hRule="exact" w:val="143"/>
        </w:trPr>
        <w:tc>
          <w:tcPr>
            <w:tcW w:w="270" w:type="pct"/>
            <w:gridSpan w:val="3"/>
            <w:shd w:val="clear" w:color="auto" w:fill="auto"/>
          </w:tcPr>
          <w:p w:rsidR="00CF7180" w:rsidRDefault="00E80B21">
            <w:pPr>
              <w:spacing w:line="230" w:lineRule="auto"/>
              <w:rPr>
                <w:rFonts w:ascii="Arial" w:eastAsia="Arial" w:hAnsi="Arial" w:cs="Arial"/>
                <w:spacing w:val="-2"/>
                <w:sz w:val="16"/>
              </w:rPr>
            </w:pPr>
            <w:r>
              <w:rPr>
                <w:rFonts w:ascii="Arial" w:eastAsia="Arial" w:hAnsi="Arial" w:cs="Arial"/>
                <w:spacing w:val="-2"/>
                <w:sz w:val="16"/>
              </w:rPr>
              <w:t>0</w:t>
            </w:r>
          </w:p>
        </w:tc>
        <w:tc>
          <w:tcPr>
            <w:tcW w:w="4641" w:type="pct"/>
            <w:gridSpan w:val="14"/>
            <w:shd w:val="clear" w:color="auto" w:fill="auto"/>
            <w:vAlign w:val="center"/>
          </w:tcPr>
          <w:p w:rsidR="00CF7180" w:rsidRDefault="00CF7180">
            <w:pPr>
              <w:spacing w:line="230" w:lineRule="auto"/>
              <w:jc w:val="center"/>
              <w:rPr>
                <w:rFonts w:ascii="Times New Roman" w:eastAsia="Times New Roman" w:hAnsi="Times New Roman" w:cs="Times New Roman"/>
                <w:color w:val="000000"/>
                <w:spacing w:val="-2"/>
                <w:sz w:val="28"/>
              </w:rPr>
            </w:pPr>
          </w:p>
        </w:tc>
      </w:tr>
      <w:tr w:rsidR="00CF7180" w:rsidTr="00E80B21">
        <w:trPr>
          <w:gridBefore w:val="1"/>
          <w:wBefore w:w="89" w:type="pct"/>
          <w:trHeight w:hRule="exact" w:val="717"/>
        </w:trPr>
        <w:tc>
          <w:tcPr>
            <w:tcW w:w="4911" w:type="pct"/>
            <w:gridSpan w:val="17"/>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Модернизация региональных информационных систем и интеграция с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Ямало-Ненецкого автономного округа, целевой модели цифровой образовательной среды</w:t>
            </w:r>
            <w:r>
              <w:rPr>
                <w:rFonts w:ascii="Times New Roman" w:eastAsia="Times New Roman" w:hAnsi="Times New Roman" w:cs="Times New Roman"/>
                <w:color w:val="FFFFFF"/>
                <w:spacing w:val="-2"/>
                <w:sz w:val="24"/>
                <w:szCs w:val="24"/>
              </w:rPr>
              <w:t>0</w:t>
            </w:r>
          </w:p>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Модернизация региональных информационных систем и интеграция с федеральной информационно-сервисной платформы цифровой образовательной среды, внедренной к концу 2024 года во всех муниципальных образованиях, направлено на реализацию целевой модели ЦОС в целях решения следующих задач: </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организационные и технические возможности для совершенствования управления образовательными организациями и сферой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1848"/>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848"/>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образования, в том числе оптимизировать и снизить издержки процессов управления деятельностью образовательных организаций, повысить транспарентность результатов деятельности образовательных организаций, повысить безопасность хранения персональных данных, а также снизить нагрузку в части ведения административно-хозяйственной и финансово-экономической деятельности и обеспечения учебного и воспитательного процесса;</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условия для активного применения цифровых сервисов и образовательного контента всеми участниками образовательного процесса, а также внедрить инструментарий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851"/>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852"/>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для формирования ценностных установок и повышения мотивации к саморазвитию и самоопределению в профессиональной деятельности;</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сформировать сообщества «горизонтального обучения» среди обучающихся и педагогических работников, разработать систему фиксации «цифрового следа» и выстраивания индивидуальной траектории обучения для каждого обучающегося;</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онлайн-платформу открытого педагогического образования;</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сократить рабочее время педагогических работников на заполнение регулярной итоговой отчетности при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851"/>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852"/>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7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использовании автоматизированных решений формирования отчетности, внедренных в федеральную информационно-сервисную платформу;</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интеграцию существующих решений, региональные информационные системы.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модернизации региональных информационных систем в сфере образования соответствии с федеральными требованиями и обеспечении их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593"/>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94"/>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01.11.2019</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отчёт о модернизации региональных автоматизированных информационных систем в соответствии с федеральными требованиями и обеспечена их техническая поддержка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593"/>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w:t>
            </w:r>
          </w:p>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94"/>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550"/>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сформированы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технических заданий по модернизации региональных автоматизированных информационных систем в сфере образования в соответствии с федеральными требованиями и технической поддержке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технические задания, позволяющие осуществить работы по модернизации систем в соответствии с федеральными требованиями и их технической поддержке</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1.13</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4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 заключении государственных контрактов о проведении модернизации региональных автоматизированных информационных систем в сфере образования и обеспечении технической поддержкой</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технического обеспечения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1.15</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отчёт о модернизации региональных автоматизированных информационных систем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464"/>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 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46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1.16</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отчёт о модернизации региональных автоматизированных информационных систем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594"/>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 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9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1.17</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отчёт о модернизации региональных автоматизированных информационных систем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593"/>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 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9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1.18</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отчёт о модернизации региональных автоматизированных информационных систем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593"/>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региональных автоматизированных информационных систем в сфере образования в соответствии с техническим заданием  и обеспечение их технической поддержки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Котенёва О. И.,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государственные контракты о проведении модернизации региональных автоматизированных информационных систем в сфере образования и обеспечении технической поддержкой, модернизованы региональные автоматизированные информационные системы в соответствии с федеральными требованиями и обеспечена их техническая поддержка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94"/>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Создана сеть центров цифрового образования детей, в том числе за счет федеральной поддержки не менее 7 центрах цифрового образования «IT-куб» с годовым охватом не менее 2800 детей</w:t>
            </w:r>
            <w:r>
              <w:rPr>
                <w:rFonts w:ascii="Times New Roman" w:eastAsia="Times New Roman" w:hAnsi="Times New Roman" w:cs="Times New Roman"/>
                <w:color w:val="FFFFFF"/>
                <w:spacing w:val="-2"/>
                <w:sz w:val="24"/>
                <w:szCs w:val="24"/>
              </w:rPr>
              <w:t>0</w:t>
            </w:r>
          </w:p>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к концу 2024 года не менее 7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235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35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Принятие решения о создании центров цифрового образования детей, в том числе за счет федеральной поддержки 3 центра цифрового образования «IT-куб» с охватом не менее 1200 детей </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Распоряжение о создании центров цифрового образования детей</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(структура управления, кадры)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Докладная записка информация об обеспечении организации деятельности организации (структурного подразделения) (структура </w:t>
            </w:r>
            <w:r>
              <w:rPr>
                <w:rFonts w:ascii="Times New Roman" w:eastAsia="Times New Roman" w:hAnsi="Times New Roman" w:cs="Times New Roman"/>
                <w:spacing w:val="-2"/>
                <w:sz w:val="24"/>
                <w:szCs w:val="24"/>
              </w:rPr>
              <w:lastRenderedPageBreak/>
              <w:t>управления, кадры)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информация об обеспечении организации деятельности организации (структурного подразделения) (имущество, финансы)</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Получение  лицензии, соответствующей образовательной деятельности центра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 департамента образования ЯНАО о выдаче лицензии, соответствующей образовательной деятельности центра цифрового образования "IT-куб"</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Принятие решения о создании 1 центра цифрового образования детей  «IT-куб», в том числе за счет федеральной поддержки,  с охватом не менее 400 детей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Распоряжение о создании центров цифрового образования детей</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(структура управления, кадры)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(структура управления, кадры)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(имущество, финансы)</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Получение  лицензии, соответствующей образовательной деятельности центра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 департамента образования ЯНАО о выдаче лицензии, соответствующей образовательной деятельности центра цифрового образования "IT-куб"</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Принятие решения о создании 1 центра цифрового образования детей  «IT-куб», в том числе за счет федеральной поддержки,  с охватом не менее 400 детей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Распоряжение о создании центров цифрового образования детей</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(структура управления, кадры)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(структура управления, кадры)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(имущество, финансы)</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56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Получение  лицензии, соответствующей образовательной деятельности центра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 департамента образования ЯНАО о выдаче лицензии, соответствующей образовательной деятельности центра цифрового образования "IT-куб"</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Принятие решения о создании 1 центра цифрового образования детей  «IT-куб», в том числе за счет федеральной поддержки,  с охватом не менее 400 детей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Распоряжение о создании центров цифрового образования детей</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2.14.1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(структура управления, кадры)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(структура управления, кадры)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6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(имущество, финансы)</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6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Получение  лицензии, соответствующей образовательной деятельности центра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 департамента образования ЯНАО о выдаче лицензии, соответствующей образовательной деятельности центра цифрового образования "IT-куб"</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Принятие решения о создании 1 центра цифрового образования детей  «IT-куб», в том числе за счет федеральной поддержки,  с охватом не менее 400 детей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Распоряжение о создании центров цифрового образования детей</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Уровень </w:t>
            </w:r>
            <w:r>
              <w:rPr>
                <w:rFonts w:ascii="Times New Roman" w:eastAsia="Times New Roman" w:hAnsi="Times New Roman" w:cs="Times New Roman"/>
                <w:color w:val="000000"/>
                <w:spacing w:val="-2"/>
                <w:sz w:val="24"/>
              </w:rPr>
              <w:lastRenderedPageBreak/>
              <w:t>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(структура управления, кадры)</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(структура управления, кадры)</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6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организации деятельности организации (структурного подразделения) (имущество, финансы)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информация об обеспечении организации деятельности организации (структурного подразделения) (имущество, финансы)</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56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Получение  лицензии, соответствующей образовательной деятельности центра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Бойченко С. А., Первый заместитель директора департамента - начальник управления государственного контроля (надзора) в сфере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 департамента образования ЯНАО о выдаче лицензии, соответствующей образовательной деятельности центра цифрового образования "IT-куб"</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26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Заключены соглашения с высшими исполнительными органами государственной власти субъектов Российской Федерации - получателями субсидий из федерального бюджета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28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созданию центров цифрового образования детей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Сбор и анализ информации муниципалитетов о ходе исполнения соглашений о предоставлении субсидии из федерального бюджета. Создано 3 центра цифрового образования «IT-куб» с охватом не менее 1200 детей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26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Заключены соглашения с высшими исполнительными органами государственной власти субъектов Российской Федерации - получателями субсидий из федерального бюджета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26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Заключены соглашения с высшими исполнительными органами государственной власти субъектов Российской Федерации - получателями субсидий из федерального бюджета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созданию центров цифрового образования детей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ходе исполнения соглашений о предоставлении субсидии из федерального бюджета</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созданию центров цифрового образования детей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ходе исполнения соглашений о предоставлении субсидии из федерального бюджета</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26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Весова Я. А., заместитель директора департамента – начальник управления 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Заключены соглашения с высшими исполнительными органами государственной власти субъектов Российской Федерации - получателями субсидий из федерального бюджета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созданию центров цифрового образования детей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ходе исполнения соглашений о предоставлении субсидии из федерального бюджета</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262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w:t>
            </w:r>
            <w:r>
              <w:rPr>
                <w:rFonts w:ascii="Times New Roman" w:eastAsia="Times New Roman" w:hAnsi="Times New Roman" w:cs="Times New Roman"/>
                <w:color w:val="000000"/>
                <w:spacing w:val="-2"/>
                <w:sz w:val="24"/>
              </w:rPr>
              <w:lastRenderedPageBreak/>
              <w:t>развития детей (центров цифрового образования «IT-куб»)</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01.01.2024</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Соглашение Заключены соглашения с высшими исполнительными органами государственной власти субъектов Российской Федерации - получателями </w:t>
            </w:r>
            <w:r>
              <w:rPr>
                <w:rFonts w:ascii="Times New Roman" w:eastAsia="Times New Roman" w:hAnsi="Times New Roman" w:cs="Times New Roman"/>
                <w:spacing w:val="-2"/>
                <w:sz w:val="24"/>
                <w:szCs w:val="24"/>
              </w:rPr>
              <w:lastRenderedPageBreak/>
              <w:t>субсидий из федерального бюджета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созданию центров цифрового образования детей «IT-куб"</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ходе исполнения соглашений о предоставлении субсидии из федерального бюджета</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43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Внедрена целевая модель цифровой образовательной среды в общеобразовательных организациях и профессиональных образовательных организациях во всех </w:t>
            </w:r>
          </w:p>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Внедрение к концу 2024 года целевой модели ЦОС во всех муниципалитетах округа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муниципальных образованиях</w:t>
            </w:r>
            <w:r>
              <w:rPr>
                <w:rFonts w:ascii="Times New Roman" w:eastAsia="Times New Roman" w:hAnsi="Times New Roman" w:cs="Times New Roman"/>
                <w:color w:val="FFFFFF"/>
                <w:spacing w:val="-2"/>
                <w:sz w:val="24"/>
                <w:szCs w:val="24"/>
              </w:rPr>
              <w:t>0</w:t>
            </w:r>
          </w:p>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динамики муниципальных образований,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852"/>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851"/>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87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184"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pPr>
              <w:spacing w:line="184" w:lineRule="auto"/>
              <w:jc w:val="center"/>
              <w:rPr>
                <w:rFonts w:ascii="Times New Roman" w:eastAsia="Times New Roman" w:hAnsi="Times New Roman" w:cs="Times New Roman"/>
                <w:color w:val="000000"/>
                <w:spacing w:val="-2"/>
                <w:sz w:val="24"/>
              </w:rPr>
            </w:pP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91"/>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01.08.2019</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w:t>
            </w:r>
            <w:r>
              <w:rPr>
                <w:rFonts w:ascii="Times New Roman" w:eastAsia="Times New Roman" w:hAnsi="Times New Roman" w:cs="Times New Roman"/>
                <w:color w:val="000000"/>
                <w:spacing w:val="-2"/>
                <w:sz w:val="24"/>
              </w:rPr>
              <w:lastRenderedPageBreak/>
              <w:t>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Соглашение Соглашение с Министерством Просвещения Российской Федерации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9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w:t>
            </w:r>
            <w:r>
              <w:rPr>
                <w:rFonts w:ascii="Times New Roman" w:eastAsia="Times New Roman" w:hAnsi="Times New Roman" w:cs="Times New Roman"/>
                <w:color w:val="000000"/>
                <w:spacing w:val="-2"/>
                <w:sz w:val="24"/>
              </w:rPr>
              <w:lastRenderedPageBreak/>
              <w:t>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Соглашение Соглашение с Министерством Просвещения Российской Федерации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91"/>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01.08.2021</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w:t>
            </w:r>
            <w:r>
              <w:rPr>
                <w:rFonts w:ascii="Times New Roman" w:eastAsia="Times New Roman" w:hAnsi="Times New Roman" w:cs="Times New Roman"/>
                <w:color w:val="000000"/>
                <w:spacing w:val="-2"/>
                <w:sz w:val="24"/>
              </w:rPr>
              <w:lastRenderedPageBreak/>
              <w:t>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01.01.2022</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Соглашение соглашение с Министерством Просвещения Российской Федерации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180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9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01.08.2022</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w:t>
            </w:r>
            <w:r>
              <w:rPr>
                <w:rFonts w:ascii="Times New Roman" w:eastAsia="Times New Roman" w:hAnsi="Times New Roman" w:cs="Times New Roman"/>
                <w:color w:val="000000"/>
                <w:spacing w:val="-2"/>
                <w:sz w:val="24"/>
              </w:rPr>
              <w:lastRenderedPageBreak/>
              <w:t>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01.01.2023</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Соглашение соглашение с Министерством Просвещения Российской Федерации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5"/>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59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01.08.2023</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ЯНАО в Министерство просвещения Российской Федерации в установленном порядке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80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w:t>
            </w:r>
            <w:r>
              <w:rPr>
                <w:rFonts w:ascii="Times New Roman" w:eastAsia="Times New Roman" w:hAnsi="Times New Roman" w:cs="Times New Roman"/>
                <w:color w:val="000000"/>
                <w:spacing w:val="-2"/>
                <w:sz w:val="24"/>
              </w:rPr>
              <w:lastRenderedPageBreak/>
              <w:t>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01.01.2024</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Весова Я. А., заместитель директора департамента – начальник управления </w:t>
            </w:r>
            <w:r>
              <w:rPr>
                <w:rFonts w:ascii="Times New Roman" w:eastAsia="Times New Roman" w:hAnsi="Times New Roman" w:cs="Times New Roman"/>
                <w:color w:val="000000"/>
                <w:spacing w:val="-2"/>
                <w:sz w:val="24"/>
              </w:rPr>
              <w:lastRenderedPageBreak/>
              <w:t>региональной политики в сфере образования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Соглашение соглашение с Министерством Просвещения Российской Федерации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80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80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80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80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внедрения целевой модели.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80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внедрения целевой модели.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80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внедрения целевой модели.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03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Pr>
                <w:rFonts w:ascii="Times New Roman" w:eastAsia="Times New Roman" w:hAnsi="Times New Roman" w:cs="Times New Roman"/>
                <w:color w:val="FFFFFF"/>
                <w:spacing w:val="-2"/>
                <w:sz w:val="24"/>
                <w:szCs w:val="24"/>
              </w:rPr>
              <w:t>0</w:t>
            </w:r>
          </w:p>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Обновление к концу 2022 года всеми образовательными организациями расположенными на территории ЯНАО информационных представительств в сети Интернет и иных общедоступных информационных ресурсов позволит: </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обеспечить представление информации об образовательных организациях, необходимой для всех участников образовательного процесса;</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7 мая 2018 г. № 204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Обновление информационного наполнения и функциональных возможностей открытых и общедоступных информационных ресурсов с учетом требований федеральных методических рекомендаций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 Начальник отдела регионального развития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 департамента образования ЯНАО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0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обновления информационного наполнения и функциональных возможностей открытых и общедоступных информационных ресурсов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результатах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обновления информационных ресурсов.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Обновление информационного наполнения и функциональных возможностей открытых и общедоступных информационных ресурсов с учетом требований федеральных методических рекомендаций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 Начальник отдела регионального развития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 департамента образования ЯНАО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0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обновления информационного наполнения и функциональных возможностей открытых и общедоступных информационных ресурсов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результатах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Обновление информационного наполнения и функциональных возможностей открытых и общедоступных информационных ресурсов с учетом требований федеральных методических рекомендаций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 Начальник отдела регионального развития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 департамента образования ЯНАО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504"/>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обновления информационного наполнения и функциональных возможностей открытых и общедоступных информационных ресурсов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результатах обновления информационных ресурсов.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Обновление информационного наполнения и функциональных возможностей открытых и общедоступных информационных ресурсов с учетом требований федеральных методических рекомендаций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Лымар Г. В., Начальник отдела регионального развития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 департамента образования ЯНАО об итогах обновления информационных ресурсов</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1505"/>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обновления информационного наполнения и функциональных возможностей открытых и общедоступных информационных ресурсов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результатах обновления информационных ресурсов.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07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Не менее 50 человек, привлекаемых к образовательной деятельности, прошли повышение квалификации с целью повышения их компетенций в области современных технологий</w:t>
            </w:r>
            <w:r>
              <w:rPr>
                <w:rFonts w:ascii="Times New Roman" w:eastAsia="Times New Roman" w:hAnsi="Times New Roman" w:cs="Times New Roman"/>
                <w:color w:val="FFFFFF"/>
                <w:spacing w:val="-2"/>
                <w:sz w:val="24"/>
                <w:szCs w:val="24"/>
              </w:rPr>
              <w:t>0</w:t>
            </w:r>
          </w:p>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Повышение к концу 2020 года квалификации не менее 50 работников ЯНАО, привлекаемых к образовательной деятельности, позволит обеспечить актуализацию знаний, умений и навыков ведущего кадрового состава системы образования в части внедрения и использования современных цифровых технологий в образовании</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206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71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не задана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123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(одобрение, формирование) документов, необходимых для повышения квалификации 5 тыс. работников</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К концу 2020 года квалификации не менее 50 работников, привлекаемых к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6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both"/>
              <w:rPr>
                <w:rFonts w:ascii="Times New Roman" w:eastAsia="Times New Roman" w:hAnsi="Times New Roman" w:cs="Times New Roman"/>
                <w:color w:val="000000"/>
                <w:spacing w:val="-2"/>
                <w:sz w:val="24"/>
              </w:rPr>
            </w:pP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образовательной деятельности, повысят уровень знаний, умений и навыков в области внедрения и использования современных цифровых технологий в образовании, в том числе в части онлайн-образования. Участие в </w:t>
            </w:r>
            <w:r>
              <w:rPr>
                <w:rFonts w:ascii="Times New Roman" w:eastAsia="Times New Roman" w:hAnsi="Times New Roman" w:cs="Times New Roman"/>
                <w:spacing w:val="-2"/>
                <w:sz w:val="24"/>
                <w:szCs w:val="24"/>
              </w:rPr>
              <w:lastRenderedPageBreak/>
              <w:t xml:space="preserve">серии образовательных мероприятий с работниками, привлекаемых к образовательной деятельности, позволит обеспечить приемственность реализуемых на федеральном уровне мер по развитию цифровой образовательной среды и общее повышение качества реализации образовательных программ с использованием современных информационных технологий."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751"/>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273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2865"/>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5.3.1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Мониторинг повышения квалификации не менее 50 работников, привлекаемых к осуществлению образовательной деятельности, с целью повышения их компетенций в области современных технологий</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К концу 2020 года квалификации не менее 50 работников, привлекаемых к образовательной деятельности, повысят уровень знаний, умений и навыков в области внедрения и использования современных цифровых технологий в образовании, в том числе в части онлайн-образования. Участие в серии образовательных мероприятий с работниками, привлекаемых к образовательной деятельности, позволит обеспечить приемственность реализуемых на федеральном уровне мер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977"/>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196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2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both"/>
              <w:rPr>
                <w:rFonts w:ascii="Times New Roman" w:eastAsia="Times New Roman" w:hAnsi="Times New Roman" w:cs="Times New Roman"/>
                <w:color w:val="000000"/>
                <w:spacing w:val="-2"/>
                <w:sz w:val="24"/>
              </w:rPr>
            </w:pP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 развитию цифровой образовательной среды и общее повышение качества реализации образовательных программ с использованием современных информационных технологий."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154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об итогах повышения квалификации не менее 5 тыс. работников, привлекаемых к осуществлению образовательной деятельности, с целью повышения их компетенций в области современных технологий</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Отчёт об итогах повышения квалификации не менее 5 тыс. работников, привлекаемых к осуществлению образовательной деятельности, с целью повышения их компетенций в области современных технологий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33"/>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29"/>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2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r>
              <w:rPr>
                <w:rFonts w:ascii="Times New Roman" w:eastAsia="Times New Roman" w:hAnsi="Times New Roman" w:cs="Times New Roman"/>
                <w:color w:val="FFFFFF"/>
                <w:spacing w:val="-2"/>
                <w:sz w:val="24"/>
                <w:szCs w:val="24"/>
              </w:rPr>
              <w:t>0</w:t>
            </w:r>
          </w:p>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71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4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Информирование о свободном доступе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01.11.2019</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Предеина А. И., главный специалист</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447"/>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Для не менее 10 000 детей в 25 % общеобразовательных организаций, расположенных на территории ЯНАО, внедрены в основные общеобразовательные программы современные цифровые технологий</w:t>
            </w:r>
            <w:r>
              <w:rPr>
                <w:rFonts w:ascii="Times New Roman" w:eastAsia="Times New Roman" w:hAnsi="Times New Roman" w:cs="Times New Roman"/>
                <w:color w:val="FFFFFF"/>
                <w:spacing w:val="-2"/>
                <w:sz w:val="24"/>
                <w:szCs w:val="24"/>
              </w:rPr>
              <w:t>0</w:t>
            </w:r>
          </w:p>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29"/>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7.5</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7.7</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7.9</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 отчет о деятельности организации</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29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эксперимента по внедрению в образовательную программу современных цифровых технологий</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Завоюра Н. В., Заместитель начальника управления - начальник отдела общего и профессионального образования</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2264"/>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На территории ЯНАО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r>
              <w:rPr>
                <w:rFonts w:ascii="Times New Roman" w:eastAsia="Times New Roman" w:hAnsi="Times New Roman" w:cs="Times New Roman"/>
                <w:color w:val="FFFFFF"/>
                <w:spacing w:val="-2"/>
                <w:sz w:val="24"/>
                <w:szCs w:val="24"/>
              </w:rPr>
              <w:t>0</w:t>
            </w:r>
          </w:p>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к концу 2024 года на территории  ЯНАО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позволит:</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F7180" w:rsidTr="00E80B21">
        <w:trPr>
          <w:gridBefore w:val="1"/>
          <w:wBefore w:w="89" w:type="pct"/>
          <w:trHeight w:hRule="exact" w:val="225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r>
      <w:tr w:rsidR="00CF7180" w:rsidTr="00E80B21">
        <w:trPr>
          <w:gridBefore w:val="1"/>
          <w:wBefore w:w="89" w:type="pct"/>
          <w:trHeight w:hRule="exact" w:val="429"/>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7"/>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2808"/>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pPr>
              <w:spacing w:line="230" w:lineRule="auto"/>
              <w:jc w:val="center"/>
              <w:rPr>
                <w:rFonts w:ascii="Times New Roman" w:eastAsia="Times New Roman" w:hAnsi="Times New Roman" w:cs="Times New Roman"/>
                <w:color w:val="000000"/>
                <w:spacing w:val="-2"/>
                <w:sz w:val="24"/>
              </w:rPr>
            </w:pP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эффективно внедрить целевую модель ЦОС в субъектах Российской Федерации;</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сформировать региональные управленческие команды, мотивированные в продвижении и развитии </w:t>
            </w:r>
            <w:r>
              <w:rPr>
                <w:rFonts w:ascii="Times New Roman" w:eastAsia="Times New Roman" w:hAnsi="Times New Roman" w:cs="Times New Roman"/>
                <w:spacing w:val="-2"/>
                <w:sz w:val="24"/>
                <w:szCs w:val="24"/>
              </w:rPr>
              <w:lastRenderedPageBreak/>
              <w:t>цифровой образовательной среды в субъектах Российской Федерации;</w:t>
            </w:r>
          </w:p>
          <w:p w:rsidR="00CF7180" w:rsidRDefault="00CF7180">
            <w:pPr>
              <w:spacing w:line="230" w:lineRule="auto"/>
              <w:jc w:val="center"/>
              <w:rPr>
                <w:rFonts w:ascii="Times New Roman" w:eastAsia="Times New Roman" w:hAnsi="Times New Roman" w:cs="Times New Roman"/>
                <w:color w:val="000000"/>
                <w:spacing w:val="-2"/>
                <w:sz w:val="24"/>
              </w:rPr>
            </w:pP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профессиональным кадровым составом процесс реализации мероприятий настоящего регионального проекта</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pPr>
              <w:spacing w:line="230" w:lineRule="auto"/>
              <w:jc w:val="center"/>
              <w:rPr>
                <w:rFonts w:ascii="Times New Roman" w:eastAsia="Times New Roman" w:hAnsi="Times New Roman" w:cs="Times New Roman"/>
                <w:color w:val="000000"/>
                <w:spacing w:val="-2"/>
                <w:sz w:val="24"/>
              </w:rPr>
            </w:pPr>
          </w:p>
        </w:tc>
      </w:tr>
      <w:tr w:rsidR="00CF7180" w:rsidTr="00E80B21">
        <w:trPr>
          <w:gridBefore w:val="1"/>
          <w:wBefore w:w="89" w:type="pct"/>
          <w:trHeight w:hRule="exact" w:val="2808"/>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100</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1447"/>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управленческих команд ЯНАО (в соответствии с итогами отбора в соответствующем году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447"/>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Уровень </w:t>
            </w:r>
            <w:r>
              <w:rPr>
                <w:rFonts w:ascii="Times New Roman" w:eastAsia="Times New Roman" w:hAnsi="Times New Roman" w:cs="Times New Roman"/>
                <w:color w:val="000000"/>
                <w:spacing w:val="-2"/>
                <w:sz w:val="24"/>
              </w:rPr>
              <w:lastRenderedPageBreak/>
              <w:t>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2"/>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2608"/>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Утверждение документов, необходимых для прохождения профессиональной переподготовки руководителей образовательных организаций и органов исполнительной власти,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 в том числе на основе "тьюторства" управленческой команды </w:t>
            </w:r>
          </w:p>
        </w:tc>
        <w:tc>
          <w:tcPr>
            <w:tcW w:w="405" w:type="pct"/>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430"/>
        </w:trPr>
        <w:tc>
          <w:tcPr>
            <w:tcW w:w="4911" w:type="pct"/>
            <w:gridSpan w:val="17"/>
            <w:tcBorders>
              <w:top w:val="single" w:sz="5" w:space="0" w:color="000000"/>
              <w:bottom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w:t>
            </w:r>
          </w:p>
        </w:tc>
      </w:tr>
      <w:tr w:rsidR="00CF7180" w:rsidTr="00E80B21">
        <w:trPr>
          <w:gridBefore w:val="1"/>
          <w:wBefore w:w="89" w:type="pct"/>
          <w:trHeight w:hRule="exact" w:val="430"/>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81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F7180" w:rsidTr="00E80B21">
        <w:trPr>
          <w:gridBefore w:val="1"/>
          <w:wBefore w:w="89" w:type="pct"/>
          <w:trHeight w:hRule="exact" w:val="430"/>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CF7180"/>
        </w:tc>
      </w:tr>
      <w:tr w:rsidR="00CF7180" w:rsidTr="00E80B21">
        <w:trPr>
          <w:gridBefore w:val="1"/>
          <w:wBefore w:w="89" w:type="pct"/>
          <w:trHeight w:hRule="exact" w:val="286"/>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5" w:type="pct"/>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F7180" w:rsidTr="00E80B21">
        <w:trPr>
          <w:gridBefore w:val="1"/>
          <w:wBefore w:w="89" w:type="pct"/>
          <w:trHeight w:hRule="exact" w:val="1763"/>
        </w:trPr>
        <w:tc>
          <w:tcPr>
            <w:tcW w:w="22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c>
          <w:tcPr>
            <w:tcW w:w="1621" w:type="pct"/>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405" w:type="pct"/>
            <w:tcBorders>
              <w:top w:val="single" w:sz="5" w:space="0" w:color="000000"/>
              <w:left w:val="single" w:sz="5" w:space="0" w:color="000000"/>
              <w:bottom w:val="single" w:sz="5" w:space="0" w:color="000000"/>
              <w:right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405"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765"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Кравец М. В., Директор департамента образования Ямало-Ненецкого автономного округа</w:t>
            </w:r>
          </w:p>
        </w:tc>
        <w:tc>
          <w:tcPr>
            <w:tcW w:w="901" w:type="pct"/>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CF7180"/>
        </w:tc>
        <w:tc>
          <w:tcPr>
            <w:tcW w:w="589" w:type="pct"/>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F7180" w:rsidTr="00E80B21">
        <w:trPr>
          <w:gridBefore w:val="1"/>
          <w:wBefore w:w="89" w:type="pct"/>
          <w:trHeight w:hRule="exact" w:val="1576"/>
        </w:trPr>
        <w:tc>
          <w:tcPr>
            <w:tcW w:w="22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8.3.1</w:t>
            </w:r>
          </w:p>
        </w:tc>
        <w:tc>
          <w:tcPr>
            <w:tcW w:w="1621" w:type="pct"/>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Определены команды управленцев для профессиональной переподготовки руководителей образовательных организаций и органов исполнительной власти ЯНАО, осуществляющих государственное управление </w:t>
            </w:r>
            <w:r>
              <w:rPr>
                <w:rFonts w:ascii="Times New Roman" w:eastAsia="Times New Roman" w:hAnsi="Times New Roman" w:cs="Times New Roman"/>
                <w:color w:val="000000"/>
                <w:spacing w:val="-2"/>
                <w:sz w:val="24"/>
              </w:rPr>
              <w:lastRenderedPageBreak/>
              <w:t>в сфере образования, по внедрению и функционированию в образовательных организациях целевой модели цифровой образовательной среды, в том числе на основе "тьюторства" управленческой команды субъекта Российской Федера</w:t>
            </w:r>
            <w:bookmarkStart w:id="0" w:name="_GoBack"/>
            <w:bookmarkEnd w:id="0"/>
            <w:r>
              <w:rPr>
                <w:rFonts w:ascii="Times New Roman" w:eastAsia="Times New Roman" w:hAnsi="Times New Roman" w:cs="Times New Roman"/>
                <w:color w:val="000000"/>
                <w:spacing w:val="-2"/>
                <w:sz w:val="24"/>
              </w:rPr>
              <w:t>ции</w:t>
            </w:r>
          </w:p>
        </w:tc>
        <w:tc>
          <w:tcPr>
            <w:tcW w:w="405" w:type="pct"/>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01.01.2020</w:t>
            </w:r>
          </w:p>
        </w:tc>
        <w:tc>
          <w:tcPr>
            <w:tcW w:w="405"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765"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Паршуков В. Г., Директор</w:t>
            </w:r>
          </w:p>
        </w:tc>
        <w:tc>
          <w:tcPr>
            <w:tcW w:w="901" w:type="pct"/>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Персональный перечень руководящих работников</w:t>
            </w:r>
          </w:p>
          <w:p w:rsidR="00CF7180" w:rsidRDefault="00CF7180"/>
        </w:tc>
        <w:tc>
          <w:tcPr>
            <w:tcW w:w="589" w:type="pct"/>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CF7180" w:rsidTr="00E80B21">
        <w:trPr>
          <w:gridBefore w:val="1"/>
          <w:wBefore w:w="89" w:type="pct"/>
          <w:trHeight w:hRule="exact" w:val="1576"/>
        </w:trPr>
        <w:tc>
          <w:tcPr>
            <w:tcW w:w="22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1621" w:type="pct"/>
            <w:gridSpan w:val="4"/>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405"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765"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901" w:type="pct"/>
            <w:gridSpan w:val="3"/>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c>
          <w:tcPr>
            <w:tcW w:w="589" w:type="pct"/>
            <w:gridSpan w:val="2"/>
            <w:vMerge/>
            <w:tcBorders>
              <w:top w:val="single" w:sz="5" w:space="0" w:color="000000"/>
              <w:left w:val="single" w:sz="5" w:space="0" w:color="000000"/>
              <w:bottom w:val="single" w:sz="5" w:space="0" w:color="000000"/>
              <w:right w:val="single" w:sz="5" w:space="0" w:color="000000"/>
            </w:tcBorders>
            <w:shd w:val="clear" w:color="auto" w:fill="auto"/>
          </w:tcPr>
          <w:p w:rsidR="00CF7180" w:rsidRDefault="00CF7180"/>
        </w:tc>
      </w:tr>
      <w:tr w:rsidR="00CF7180" w:rsidTr="00E80B21">
        <w:trPr>
          <w:gridBefore w:val="1"/>
          <w:wBefore w:w="89" w:type="pct"/>
          <w:trHeight w:hRule="exact" w:val="430"/>
        </w:trPr>
        <w:tc>
          <w:tcPr>
            <w:tcW w:w="4911" w:type="pct"/>
            <w:gridSpan w:val="17"/>
            <w:tcBorders>
              <w:top w:val="single" w:sz="5" w:space="0" w:color="000000"/>
            </w:tcBorders>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103</w:t>
            </w:r>
          </w:p>
        </w:tc>
      </w:tr>
      <w:tr w:rsidR="00CF7180" w:rsidTr="00E80B21">
        <w:trPr>
          <w:gridBefore w:val="1"/>
          <w:wBefore w:w="89" w:type="pct"/>
          <w:trHeight w:hRule="exact" w:val="573"/>
        </w:trPr>
        <w:tc>
          <w:tcPr>
            <w:tcW w:w="3601" w:type="pct"/>
            <w:gridSpan w:val="13"/>
          </w:tcPr>
          <w:p w:rsidR="00CF7180" w:rsidRDefault="00CF7180"/>
        </w:tc>
        <w:tc>
          <w:tcPr>
            <w:tcW w:w="1309" w:type="pct"/>
            <w:gridSpan w:val="4"/>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CF7180" w:rsidTr="00E80B21">
        <w:trPr>
          <w:gridBefore w:val="1"/>
          <w:wBefore w:w="89" w:type="pct"/>
          <w:trHeight w:hRule="exact" w:val="573"/>
        </w:trPr>
        <w:tc>
          <w:tcPr>
            <w:tcW w:w="3601" w:type="pct"/>
            <w:gridSpan w:val="13"/>
          </w:tcPr>
          <w:p w:rsidR="00CF7180" w:rsidRDefault="00CF7180"/>
        </w:tc>
        <w:tc>
          <w:tcPr>
            <w:tcW w:w="1309" w:type="pct"/>
            <w:gridSpan w:val="4"/>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(ЯНАО)</w:t>
            </w:r>
          </w:p>
        </w:tc>
      </w:tr>
      <w:tr w:rsidR="00CF7180" w:rsidTr="00E80B21">
        <w:trPr>
          <w:gridBefore w:val="1"/>
          <w:wBefore w:w="89" w:type="pct"/>
          <w:trHeight w:hRule="exact" w:val="430"/>
        </w:trPr>
        <w:tc>
          <w:tcPr>
            <w:tcW w:w="4911" w:type="pct"/>
            <w:gridSpan w:val="17"/>
            <w:shd w:val="clear" w:color="auto" w:fill="auto"/>
          </w:tcPr>
          <w:p w:rsidR="00CF7180" w:rsidRDefault="00E80B21">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w:t>
            </w:r>
          </w:p>
        </w:tc>
      </w:tr>
      <w:tr w:rsidR="00CF7180" w:rsidTr="00E80B21">
        <w:trPr>
          <w:gridBefore w:val="1"/>
          <w:wBefore w:w="89" w:type="pct"/>
          <w:trHeight w:hRule="exact" w:val="859"/>
        </w:trPr>
        <w:tc>
          <w:tcPr>
            <w:tcW w:w="4911" w:type="pct"/>
            <w:gridSpan w:val="17"/>
            <w:tcBorders>
              <w:bottom w:val="single" w:sz="5" w:space="0" w:color="000000"/>
            </w:tcBorders>
            <w:shd w:val="clear" w:color="auto" w:fill="auto"/>
            <w:vAlign w:val="center"/>
          </w:tcPr>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CF7180" w:rsidRDefault="00E80B21">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p w:rsidR="00E80B21" w:rsidRDefault="00E80B21">
            <w:pPr>
              <w:spacing w:line="230" w:lineRule="auto"/>
              <w:jc w:val="center"/>
              <w:rPr>
                <w:rFonts w:ascii="Times New Roman" w:eastAsia="Times New Roman" w:hAnsi="Times New Roman" w:cs="Times New Roman"/>
                <w:color w:val="000000"/>
                <w:spacing w:val="-2"/>
                <w:sz w:val="28"/>
              </w:rPr>
            </w:pP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blHeader/>
        </w:trPr>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w:t>
            </w:r>
          </w:p>
          <w:p w:rsidR="00E80B21" w:rsidRPr="00C61D0C" w:rsidRDefault="00E80B21" w:rsidP="00E80B21">
            <w:pPr>
              <w:jc w:val="center"/>
              <w:rPr>
                <w:rFonts w:ascii="PT Astra Serif" w:hAnsi="PT Astra Serif"/>
                <w:sz w:val="24"/>
                <w:szCs w:val="24"/>
                <w:lang w:eastAsia="en-US"/>
              </w:rPr>
            </w:pPr>
            <w:proofErr w:type="gramStart"/>
            <w:r w:rsidRPr="00C61D0C">
              <w:rPr>
                <w:rFonts w:ascii="PT Astra Serif" w:hAnsi="PT Astra Serif"/>
                <w:sz w:val="24"/>
                <w:szCs w:val="24"/>
                <w:lang w:eastAsia="en-US"/>
              </w:rPr>
              <w:t>п</w:t>
            </w:r>
            <w:proofErr w:type="gramEnd"/>
            <w:r w:rsidRPr="00C61D0C">
              <w:rPr>
                <w:rFonts w:ascii="PT Astra Serif" w:hAnsi="PT Astra Serif"/>
                <w:sz w:val="24"/>
                <w:szCs w:val="24"/>
                <w:lang w:eastAsia="en-US"/>
              </w:rPr>
              <w:t>/п</w:t>
            </w:r>
          </w:p>
        </w:tc>
        <w:tc>
          <w:tcPr>
            <w:tcW w:w="1131" w:type="pct"/>
            <w:gridSpan w:val="3"/>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Методика расчета</w:t>
            </w:r>
          </w:p>
        </w:tc>
        <w:tc>
          <w:tcPr>
            <w:tcW w:w="390" w:type="pct"/>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Базовые показатели</w:t>
            </w:r>
          </w:p>
        </w:tc>
        <w:tc>
          <w:tcPr>
            <w:tcW w:w="607" w:type="pct"/>
            <w:gridSpan w:val="3"/>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Источник данных</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proofErr w:type="gramStart"/>
            <w:r w:rsidRPr="00C61D0C">
              <w:rPr>
                <w:rFonts w:ascii="PT Astra Serif" w:hAnsi="PT Astra Serif"/>
                <w:sz w:val="24"/>
                <w:szCs w:val="24"/>
                <w:lang w:eastAsia="en-US"/>
              </w:rPr>
              <w:t xml:space="preserve">Ответственный за сбор данных </w:t>
            </w:r>
            <w:proofErr w:type="gramEnd"/>
          </w:p>
        </w:tc>
        <w:tc>
          <w:tcPr>
            <w:tcW w:w="495" w:type="pct"/>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Уровень агрегирования информации</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Срок и периодичность</w:t>
            </w:r>
          </w:p>
        </w:tc>
        <w:tc>
          <w:tcPr>
            <w:tcW w:w="772" w:type="pct"/>
            <w:gridSpan w:val="2"/>
            <w:tcBorders>
              <w:top w:val="single" w:sz="4" w:space="0" w:color="auto"/>
              <w:left w:val="single" w:sz="4" w:space="0" w:color="auto"/>
              <w:bottom w:val="single" w:sz="4" w:space="0" w:color="auto"/>
              <w:right w:val="single" w:sz="4" w:space="0" w:color="auto"/>
            </w:tcBorders>
            <w:vAlign w:val="center"/>
            <w:hideMark/>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Дополнительная информация</w:t>
            </w: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4775" w:type="pct"/>
            <w:gridSpan w:val="17"/>
            <w:tcBorders>
              <w:top w:val="single" w:sz="4" w:space="0" w:color="auto"/>
              <w:left w:val="single" w:sz="4" w:space="0" w:color="auto"/>
              <w:bottom w:val="single" w:sz="4" w:space="0" w:color="auto"/>
              <w:right w:val="single" w:sz="4" w:space="0" w:color="auto"/>
            </w:tcBorders>
            <w:hideMark/>
          </w:tcPr>
          <w:p w:rsidR="00E80B21" w:rsidRPr="00C61D0C" w:rsidRDefault="00E80B21" w:rsidP="00E80B21">
            <w:pPr>
              <w:jc w:val="center"/>
              <w:rPr>
                <w:rFonts w:ascii="PT Astra Serif" w:eastAsia="Arial Unicode MS" w:hAnsi="PT Astra Serif"/>
                <w:sz w:val="24"/>
                <w:szCs w:val="24"/>
                <w:u w:color="000000"/>
              </w:rPr>
            </w:pPr>
            <w:r w:rsidRPr="00C61D0C">
              <w:rPr>
                <w:rFonts w:ascii="PT Astra Serif" w:eastAsia="Arial Unicode MS" w:hAnsi="PT Astra Serif"/>
                <w:sz w:val="24"/>
                <w:szCs w:val="24"/>
                <w:u w:color="000000"/>
              </w:rPr>
              <w:t xml:space="preserve">Доля </w:t>
            </w:r>
            <w:r w:rsidRPr="00C61D0C">
              <w:rPr>
                <w:rFonts w:ascii="PT Astra Serif" w:hAnsi="PT Astra Serif"/>
                <w:sz w:val="24"/>
                <w:szCs w:val="24"/>
              </w:rPr>
              <w:t>муниципальных образований  ЯНАО</w:t>
            </w:r>
            <w:r w:rsidRPr="00C61D0C">
              <w:rPr>
                <w:rFonts w:ascii="PT Astra Serif" w:eastAsia="Arial Unicode MS" w:hAnsi="PT Astra Serif"/>
                <w:sz w:val="24"/>
                <w:szCs w:val="24"/>
                <w:u w:color="000000"/>
              </w:rPr>
              <w:t>,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процент</w:t>
            </w: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215"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1.</w:t>
            </w:r>
          </w:p>
        </w:tc>
        <w:tc>
          <w:tcPr>
            <w:tcW w:w="1131"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F</w:t>
            </w:r>
            <w:r w:rsidRPr="00C61D0C">
              <w:rPr>
                <w:rFonts w:ascii="PT Astra Serif" w:hAnsi="PT Astra Serif"/>
                <w:sz w:val="24"/>
                <w:szCs w:val="24"/>
                <w:vertAlign w:val="subscript"/>
              </w:rPr>
              <w:t>ЦМЦОС</w:t>
            </w:r>
            <w:r w:rsidRPr="00C61D0C">
              <w:rPr>
                <w:rFonts w:ascii="PT Astra Serif" w:hAnsi="PT Astra Serif"/>
                <w:sz w:val="24"/>
                <w:szCs w:val="24"/>
              </w:rPr>
              <w:t>=</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цос</m:t>
                          </m:r>
                        </m:sub>
                      </m:sSub>
                    </m:e>
                  </m:nary>
                </m:num>
                <m:den>
                  <m:r>
                    <w:rPr>
                      <w:rFonts w:ascii="Cambria Math" w:hAnsi="Cambria Math"/>
                      <w:sz w:val="24"/>
                      <w:szCs w:val="24"/>
                    </w:rPr>
                    <m:t>13</m:t>
                  </m:r>
                </m:den>
              </m:f>
              <m:r>
                <w:rPr>
                  <w:rFonts w:ascii="Cambria Math" w:hAnsi="Cambria Math"/>
                  <w:sz w:val="24"/>
                  <w:szCs w:val="24"/>
                </w:rPr>
                <m:t>×100</m:t>
              </m:r>
            </m:oMath>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где:</w:t>
            </w: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X</w:t>
            </w:r>
            <w:proofErr w:type="spellStart"/>
            <w:r w:rsidRPr="00C61D0C">
              <w:rPr>
                <w:rFonts w:ascii="PT Astra Serif" w:hAnsi="PT Astra Serif"/>
                <w:sz w:val="24"/>
                <w:szCs w:val="24"/>
                <w:vertAlign w:val="subscript"/>
              </w:rPr>
              <w:t>цос</w:t>
            </w:r>
            <w:proofErr w:type="spellEnd"/>
            <w:r w:rsidRPr="00C61D0C">
              <w:rPr>
                <w:rFonts w:ascii="PT Astra Serif" w:hAnsi="PT Astra Serif"/>
                <w:sz w:val="24"/>
                <w:szCs w:val="24"/>
                <w:vertAlign w:val="subscript"/>
              </w:rPr>
              <w:t xml:space="preserve"> </w:t>
            </w:r>
            <w:r w:rsidRPr="00C61D0C">
              <w:rPr>
                <w:rFonts w:ascii="PT Astra Serif" w:hAnsi="PT Astra Serif"/>
                <w:sz w:val="24"/>
                <w:szCs w:val="24"/>
              </w:rPr>
              <w:t>– число муниципальных образований ,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p>
        </w:tc>
        <w:tc>
          <w:tcPr>
            <w:tcW w:w="390"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lastRenderedPageBreak/>
              <w:t>0</w:t>
            </w:r>
          </w:p>
        </w:tc>
        <w:tc>
          <w:tcPr>
            <w:tcW w:w="607"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Отчеты муниципальных образований о реализации соглашений о предоставлении субсидии на финансовое обеспечение реализации мероприятий по внедрению целевой модели цифровой образовательной </w:t>
            </w:r>
            <w:r w:rsidRPr="00C61D0C">
              <w:rPr>
                <w:rFonts w:ascii="PT Astra Serif" w:hAnsi="PT Astra Serif"/>
                <w:sz w:val="24"/>
                <w:szCs w:val="24"/>
              </w:rPr>
              <w:lastRenderedPageBreak/>
              <w:t>среды</w:t>
            </w:r>
          </w:p>
        </w:tc>
        <w:tc>
          <w:tcPr>
            <w:tcW w:w="65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lastRenderedPageBreak/>
              <w:t>Департамент образования Ямало-Ненецкого автономного округа</w:t>
            </w:r>
          </w:p>
        </w:tc>
        <w:tc>
          <w:tcPr>
            <w:tcW w:w="495"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по Ямало-Ненецкому автономному округу</w:t>
            </w:r>
          </w:p>
        </w:tc>
        <w:tc>
          <w:tcPr>
            <w:tcW w:w="514"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1 раз в год</w:t>
            </w:r>
          </w:p>
        </w:tc>
        <w:tc>
          <w:tcPr>
            <w:tcW w:w="77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4775" w:type="pct"/>
            <w:gridSpan w:val="17"/>
            <w:tcBorders>
              <w:top w:val="single" w:sz="4" w:space="0" w:color="auto"/>
              <w:left w:val="single" w:sz="4" w:space="0" w:color="auto"/>
              <w:bottom w:val="single" w:sz="4" w:space="0" w:color="auto"/>
              <w:right w:val="single" w:sz="4" w:space="0" w:color="auto"/>
            </w:tcBorders>
            <w:hideMark/>
          </w:tcPr>
          <w:p w:rsidR="00E80B21" w:rsidRPr="00C61D0C" w:rsidRDefault="00E80B21" w:rsidP="00E80B21">
            <w:pPr>
              <w:jc w:val="center"/>
              <w:rPr>
                <w:rFonts w:ascii="PT Astra Serif" w:eastAsia="Arial Unicode MS" w:hAnsi="PT Astra Serif"/>
                <w:sz w:val="24"/>
                <w:szCs w:val="24"/>
                <w:u w:color="000000"/>
              </w:rPr>
            </w:pPr>
            <w:proofErr w:type="gramStart"/>
            <w:r w:rsidRPr="00C61D0C">
              <w:rPr>
                <w:rFonts w:ascii="PT Astra Serif" w:hAnsi="PT Astra Serif"/>
                <w:color w:val="000000"/>
                <w:sz w:val="24"/>
                <w:szCs w:val="24"/>
              </w:rPr>
              <w:lastRenderedPageBreak/>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roofErr w:type="gramEnd"/>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215"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2.</w:t>
            </w:r>
          </w:p>
        </w:tc>
        <w:tc>
          <w:tcPr>
            <w:tcW w:w="1131" w:type="pct"/>
            <w:gridSpan w:val="3"/>
            <w:tcBorders>
              <w:top w:val="single" w:sz="4" w:space="0" w:color="auto"/>
              <w:left w:val="single" w:sz="4" w:space="0" w:color="auto"/>
              <w:bottom w:val="single" w:sz="4" w:space="0" w:color="auto"/>
              <w:right w:val="single" w:sz="4" w:space="0" w:color="auto"/>
            </w:tcBorders>
          </w:tcPr>
          <w:p w:rsidR="00E80B21" w:rsidRPr="00E80B21" w:rsidRDefault="00E80B21" w:rsidP="00E80B21">
            <w:pPr>
              <w:spacing w:line="240" w:lineRule="atLeast"/>
              <w:rPr>
                <w:rFonts w:ascii="PT Astra Serif" w:hAnsi="PT Astra Serif"/>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цифпроф</m:t>
                    </m:r>
                  </m:sub>
                </m:sSub>
                <m:r>
                  <w:rPr>
                    <w:rFonts w:ascii="Cambria Math" w:hAnsi="Cambria Math"/>
                    <w:sz w:val="24"/>
                    <w:szCs w:val="24"/>
                  </w:rPr>
                  <m:t xml:space="preserve">= </m:t>
                </m:r>
                <m:sSub>
                  <m:sSubPr>
                    <m:ctrlPr>
                      <w:rPr>
                        <w:rFonts w:ascii="Cambria Math" w:hAnsi="Cambria Math"/>
                        <w:i/>
                        <w:sz w:val="24"/>
                        <w:szCs w:val="24"/>
                        <w:lang w:val="en-US"/>
                      </w:rPr>
                    </m:ctrlPr>
                  </m:sSubPr>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цифробрпроф</m:t>
                                </m:r>
                              </m:sub>
                            </m:sSub>
                          </m:e>
                        </m:nary>
                        <m:ctrlPr>
                          <w:rPr>
                            <w:rFonts w:ascii="Cambria Math" w:hAnsi="Cambria Math"/>
                            <w:i/>
                            <w:sz w:val="24"/>
                            <w:szCs w:val="24"/>
                          </w:rPr>
                        </m:ctrlPr>
                      </m:num>
                      <m:den>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всего</m:t>
                                </m:r>
                              </m:sub>
                            </m:sSub>
                          </m:e>
                        </m:nary>
                      </m:den>
                    </m:f>
                    <m:ctrlPr>
                      <w:rPr>
                        <w:rFonts w:ascii="Cambria Math" w:hAnsi="Cambria Math"/>
                        <w:i/>
                        <w:sz w:val="24"/>
                        <w:szCs w:val="24"/>
                      </w:rPr>
                    </m:ctrlPr>
                  </m:e>
                  <m:sub/>
                </m:sSub>
                <m:r>
                  <w:rPr>
                    <w:rFonts w:ascii="Cambria Math" w:hAnsi="Cambria Math"/>
                    <w:sz w:val="24"/>
                    <w:szCs w:val="24"/>
                    <w:lang w:val="en-US"/>
                  </w:rPr>
                  <m:t>×100</m:t>
                </m:r>
              </m:oMath>
            </m:oMathPara>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где: </w:t>
            </w: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proofErr w:type="spellStart"/>
            <w:r w:rsidRPr="00C61D0C">
              <w:rPr>
                <w:rFonts w:ascii="PT Astra Serif" w:hAnsi="PT Astra Serif"/>
                <w:sz w:val="24"/>
                <w:szCs w:val="24"/>
                <w:vertAlign w:val="subscript"/>
              </w:rPr>
              <w:t>цифробРРПроф</w:t>
            </w:r>
            <w:proofErr w:type="spellEnd"/>
            <w:r w:rsidRPr="00C61D0C">
              <w:rPr>
                <w:rFonts w:ascii="PT Astra Serif" w:hAnsi="PT Astra Serif"/>
                <w:sz w:val="24"/>
                <w:szCs w:val="24"/>
                <w:vertAlign w:val="subscript"/>
              </w:rPr>
              <w:t xml:space="preserve"> </w:t>
            </w:r>
            <w:r w:rsidRPr="00C61D0C">
              <w:rPr>
                <w:rFonts w:ascii="PT Astra Serif" w:hAnsi="PT Astra Serif"/>
                <w:sz w:val="24"/>
                <w:szCs w:val="24"/>
              </w:rPr>
              <w:t>-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r w:rsidRPr="00C61D0C">
              <w:rPr>
                <w:rFonts w:ascii="PT Astra Serif" w:hAnsi="PT Astra Serif"/>
                <w:sz w:val="24"/>
                <w:szCs w:val="24"/>
                <w:vertAlign w:val="subscript"/>
              </w:rPr>
              <w:t xml:space="preserve">всего </w:t>
            </w:r>
            <w:r w:rsidRPr="00C61D0C">
              <w:rPr>
                <w:rFonts w:ascii="PT Astra Serif" w:hAnsi="PT Astra Serif"/>
                <w:sz w:val="24"/>
                <w:szCs w:val="24"/>
              </w:rPr>
              <w:t>- общее число обучающихся по программам общего образования, дополнительного образования для детей и среднего профессионального образования</w:t>
            </w:r>
          </w:p>
        </w:tc>
        <w:tc>
          <w:tcPr>
            <w:tcW w:w="390"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0</w:t>
            </w:r>
          </w:p>
        </w:tc>
        <w:tc>
          <w:tcPr>
            <w:tcW w:w="607"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Ведомственная отчетность </w:t>
            </w:r>
          </w:p>
        </w:tc>
        <w:tc>
          <w:tcPr>
            <w:tcW w:w="65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Департамент образования Ямало-Ненецкого автономного округа</w:t>
            </w:r>
          </w:p>
        </w:tc>
        <w:tc>
          <w:tcPr>
            <w:tcW w:w="495"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по Ямало-Ненецкому автономному округу</w:t>
            </w:r>
          </w:p>
        </w:tc>
        <w:tc>
          <w:tcPr>
            <w:tcW w:w="514"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1 раз в год</w:t>
            </w:r>
          </w:p>
        </w:tc>
        <w:tc>
          <w:tcPr>
            <w:tcW w:w="77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4775" w:type="pct"/>
            <w:gridSpan w:val="17"/>
            <w:tcBorders>
              <w:top w:val="single" w:sz="4" w:space="0" w:color="auto"/>
              <w:left w:val="single" w:sz="4" w:space="0" w:color="auto"/>
              <w:bottom w:val="single" w:sz="4" w:space="0" w:color="auto"/>
              <w:right w:val="single" w:sz="4" w:space="0" w:color="auto"/>
            </w:tcBorders>
            <w:hideMark/>
          </w:tcPr>
          <w:p w:rsidR="00E80B21" w:rsidRPr="00C61D0C" w:rsidRDefault="00E80B21" w:rsidP="00E80B21">
            <w:pPr>
              <w:jc w:val="center"/>
              <w:rPr>
                <w:rFonts w:ascii="PT Astra Serif" w:eastAsia="Arial Unicode MS" w:hAnsi="PT Astra Serif"/>
                <w:sz w:val="24"/>
                <w:szCs w:val="24"/>
                <w:u w:color="000000"/>
              </w:rPr>
            </w:pPr>
            <w:r w:rsidRPr="00C61D0C">
              <w:rPr>
                <w:rFonts w:ascii="PT Astra Serif" w:hAnsi="PT Astra Serif"/>
                <w:sz w:val="24"/>
                <w:szCs w:val="24"/>
              </w:rPr>
              <w:t xml:space="preserve">Доля образовательных организаций, осуществляющих образовательную деятельность с использованием </w:t>
            </w:r>
            <w:r w:rsidRPr="00C61D0C">
              <w:rPr>
                <w:rFonts w:ascii="PT Astra Serif" w:hAnsi="PT Astra Serif"/>
                <w:color w:val="000000"/>
                <w:sz w:val="24"/>
                <w:szCs w:val="24"/>
              </w:rPr>
              <w:t>федеральной информационно-сервисной платформы цифровой образовательной среды (</w:t>
            </w:r>
            <w:r w:rsidRPr="00C61D0C">
              <w:rPr>
                <w:rFonts w:ascii="PT Astra Serif" w:hAnsi="PT Astra Serif"/>
                <w:sz w:val="24"/>
                <w:szCs w:val="24"/>
              </w:rPr>
              <w:t>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215"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3.</w:t>
            </w:r>
          </w:p>
        </w:tc>
        <w:tc>
          <w:tcPr>
            <w:tcW w:w="1131" w:type="pct"/>
            <w:gridSpan w:val="3"/>
            <w:tcBorders>
              <w:top w:val="single" w:sz="4" w:space="0" w:color="auto"/>
              <w:left w:val="single" w:sz="4" w:space="0" w:color="auto"/>
              <w:bottom w:val="single" w:sz="4" w:space="0" w:color="auto"/>
              <w:right w:val="single" w:sz="4" w:space="0" w:color="auto"/>
            </w:tcBorders>
          </w:tcPr>
          <w:p w:rsidR="00E80B21" w:rsidRPr="00E80B21" w:rsidRDefault="00E80B21" w:rsidP="00E80B21">
            <w:pPr>
              <w:spacing w:line="240" w:lineRule="atLeast"/>
              <w:rPr>
                <w:rFonts w:ascii="PT Astra Serif" w:hAnsi="PT Astra Serif"/>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фцоп</m:t>
                    </m:r>
                  </m:sub>
                </m:sSub>
                <m:r>
                  <w:rPr>
                    <w:rFonts w:ascii="Cambria Math" w:hAnsi="Cambria Math"/>
                    <w:sz w:val="24"/>
                    <w:szCs w:val="24"/>
                  </w:rPr>
                  <m:t xml:space="preserve">= </m:t>
                </m:r>
                <m:sSub>
                  <m:sSubPr>
                    <m:ctrlPr>
                      <w:rPr>
                        <w:rFonts w:ascii="Cambria Math" w:hAnsi="Cambria Math"/>
                        <w:i/>
                        <w:sz w:val="24"/>
                        <w:szCs w:val="24"/>
                        <w:lang w:val="en-US"/>
                      </w:rPr>
                    </m:ctrlPr>
                  </m:sSubPr>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фцоп</m:t>
                                </m:r>
                              </m:sub>
                            </m:sSub>
                          </m:e>
                        </m:nary>
                        <m:ctrlPr>
                          <w:rPr>
                            <w:rFonts w:ascii="Cambria Math" w:hAnsi="Cambria Math"/>
                            <w:i/>
                            <w:sz w:val="24"/>
                            <w:szCs w:val="24"/>
                          </w:rPr>
                        </m:ctrlPr>
                      </m:num>
                      <m:den>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всего</m:t>
                                </m:r>
                              </m:sub>
                            </m:sSub>
                          </m:e>
                        </m:nary>
                      </m:den>
                    </m:f>
                    <m:ctrlPr>
                      <w:rPr>
                        <w:rFonts w:ascii="Cambria Math" w:hAnsi="Cambria Math"/>
                        <w:i/>
                        <w:sz w:val="24"/>
                        <w:szCs w:val="24"/>
                      </w:rPr>
                    </m:ctrlPr>
                  </m:e>
                  <m:sub/>
                </m:sSub>
                <m:r>
                  <w:rPr>
                    <w:rFonts w:ascii="Cambria Math" w:hAnsi="Cambria Math"/>
                    <w:sz w:val="24"/>
                    <w:szCs w:val="24"/>
                    <w:lang w:val="en-US"/>
                  </w:rPr>
                  <m:t>×100</m:t>
                </m:r>
              </m:oMath>
            </m:oMathPara>
          </w:p>
          <w:p w:rsidR="00E80B21" w:rsidRPr="00C61D0C" w:rsidRDefault="00E80B21" w:rsidP="00E80B21">
            <w:pPr>
              <w:spacing w:line="240" w:lineRule="atLeast"/>
              <w:rPr>
                <w:rFonts w:ascii="PT Astra Serif" w:hAnsi="PT Astra Serif"/>
                <w:sz w:val="24"/>
                <w:szCs w:val="24"/>
                <w:lang w:val="en-US"/>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где: </w:t>
            </w: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lastRenderedPageBreak/>
              <w:t>Y</w:t>
            </w:r>
            <w:proofErr w:type="spellStart"/>
            <w:r w:rsidRPr="00C61D0C">
              <w:rPr>
                <w:rFonts w:ascii="PT Astra Serif" w:hAnsi="PT Astra Serif"/>
                <w:sz w:val="24"/>
                <w:szCs w:val="24"/>
                <w:vertAlign w:val="subscript"/>
              </w:rPr>
              <w:t>фцоп</w:t>
            </w:r>
            <w:proofErr w:type="spellEnd"/>
            <w:r w:rsidRPr="00C61D0C">
              <w:rPr>
                <w:rFonts w:ascii="PT Astra Serif" w:hAnsi="PT Astra Serif"/>
                <w:sz w:val="24"/>
                <w:szCs w:val="24"/>
                <w:vertAlign w:val="subscript"/>
              </w:rPr>
              <w:t xml:space="preserve"> </w:t>
            </w:r>
            <w:r w:rsidRPr="00C61D0C">
              <w:rPr>
                <w:rFonts w:ascii="PT Astra Serif" w:hAnsi="PT Astra Serif"/>
                <w:sz w:val="24"/>
                <w:szCs w:val="24"/>
              </w:rPr>
              <w:t>-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r w:rsidRPr="00C61D0C">
              <w:rPr>
                <w:rFonts w:ascii="PT Astra Serif" w:hAnsi="PT Astra Serif"/>
                <w:sz w:val="24"/>
                <w:szCs w:val="24"/>
                <w:vertAlign w:val="subscript"/>
              </w:rPr>
              <w:t xml:space="preserve">всего </w:t>
            </w:r>
            <w:r w:rsidRPr="00C61D0C">
              <w:rPr>
                <w:rFonts w:ascii="PT Astra Serif" w:hAnsi="PT Astra Serif"/>
                <w:sz w:val="24"/>
                <w:szCs w:val="24"/>
              </w:rPr>
              <w:t>-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w:t>
            </w:r>
          </w:p>
        </w:tc>
        <w:tc>
          <w:tcPr>
            <w:tcW w:w="390"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lastRenderedPageBreak/>
              <w:t>0</w:t>
            </w:r>
          </w:p>
        </w:tc>
        <w:tc>
          <w:tcPr>
            <w:tcW w:w="607"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Ведомственная отчетность</w:t>
            </w:r>
          </w:p>
        </w:tc>
        <w:tc>
          <w:tcPr>
            <w:tcW w:w="65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Департамент образования Ямало-Ненецкого автономного </w:t>
            </w:r>
            <w:r w:rsidRPr="00C61D0C">
              <w:rPr>
                <w:rFonts w:ascii="PT Astra Serif" w:hAnsi="PT Astra Serif"/>
                <w:sz w:val="24"/>
                <w:szCs w:val="24"/>
              </w:rPr>
              <w:lastRenderedPageBreak/>
              <w:t>округа</w:t>
            </w:r>
          </w:p>
        </w:tc>
        <w:tc>
          <w:tcPr>
            <w:tcW w:w="495"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lastRenderedPageBreak/>
              <w:t>по Ямало-Ненецкому автономному округу</w:t>
            </w:r>
          </w:p>
        </w:tc>
        <w:tc>
          <w:tcPr>
            <w:tcW w:w="514"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1 раз в год</w:t>
            </w:r>
          </w:p>
        </w:tc>
        <w:tc>
          <w:tcPr>
            <w:tcW w:w="77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4775" w:type="pct"/>
            <w:gridSpan w:val="17"/>
            <w:tcBorders>
              <w:top w:val="single" w:sz="4" w:space="0" w:color="auto"/>
              <w:left w:val="single" w:sz="4" w:space="0" w:color="auto"/>
              <w:bottom w:val="single" w:sz="4" w:space="0" w:color="auto"/>
              <w:right w:val="single" w:sz="4" w:space="0" w:color="auto"/>
            </w:tcBorders>
            <w:hideMark/>
          </w:tcPr>
          <w:p w:rsidR="00E80B21" w:rsidRPr="00C61D0C" w:rsidRDefault="00E80B21" w:rsidP="00E80B21">
            <w:pPr>
              <w:jc w:val="center"/>
              <w:rPr>
                <w:rFonts w:ascii="PT Astra Serif" w:eastAsia="Arial Unicode MS" w:hAnsi="PT Astra Serif"/>
                <w:sz w:val="24"/>
                <w:szCs w:val="24"/>
                <w:u w:color="000000"/>
              </w:rPr>
            </w:pPr>
            <w:r w:rsidRPr="00C61D0C">
              <w:rPr>
                <w:rFonts w:ascii="PT Astra Serif" w:hAnsi="PT Astra Serif"/>
                <w:sz w:val="24"/>
                <w:szCs w:val="24"/>
              </w:rPr>
              <w:lastRenderedPageBreak/>
              <w:t xml:space="preserve">Доля </w:t>
            </w:r>
            <w:proofErr w:type="gramStart"/>
            <w:r w:rsidRPr="00C61D0C">
              <w:rPr>
                <w:rFonts w:ascii="PT Astra Serif" w:hAnsi="PT Astra Serif"/>
                <w:sz w:val="24"/>
                <w:szCs w:val="24"/>
              </w:rPr>
              <w:t>обучающихся</w:t>
            </w:r>
            <w:proofErr w:type="gramEnd"/>
            <w:r w:rsidRPr="00C61D0C">
              <w:rPr>
                <w:rFonts w:ascii="PT Astra Serif" w:hAnsi="PT Astra Serif"/>
                <w:sz w:val="24"/>
                <w:szCs w:val="24"/>
              </w:rPr>
              <w:t xml:space="preserve"> общего образования и среднего профессионального образования, использующих </w:t>
            </w:r>
            <w:r w:rsidRPr="00C61D0C">
              <w:rPr>
                <w:rFonts w:ascii="PT Astra Serif" w:hAnsi="PT Astra Serif"/>
                <w:color w:val="000000"/>
                <w:sz w:val="24"/>
                <w:szCs w:val="24"/>
              </w:rPr>
              <w:t>федеральную информационно-сервисную платформу цифровой образовательной среды</w:t>
            </w:r>
            <w:r w:rsidRPr="00C61D0C" w:rsidDel="00A14C54">
              <w:rPr>
                <w:rFonts w:ascii="PT Astra Serif" w:hAnsi="PT Astra Serif"/>
                <w:sz w:val="24"/>
                <w:szCs w:val="24"/>
              </w:rPr>
              <w:t xml:space="preserve"> </w:t>
            </w:r>
            <w:r w:rsidRPr="00C61D0C">
              <w:rPr>
                <w:rFonts w:ascii="PT Astra Serif" w:hAnsi="PT Astra Serif"/>
                <w:color w:val="000000"/>
                <w:sz w:val="24"/>
                <w:szCs w:val="24"/>
              </w:rPr>
              <w:t>(</w:t>
            </w:r>
            <w:r w:rsidRPr="00C61D0C">
              <w:rPr>
                <w:rFonts w:ascii="PT Astra Serif" w:hAnsi="PT Astra Serif"/>
                <w:sz w:val="24"/>
                <w:szCs w:val="24"/>
              </w:rPr>
              <w:t>федеральные цифровые платформы, информационные системы и ресурсы) для «горизонтального» обучения и неформального образования, процент</w:t>
            </w: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215"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4.</w:t>
            </w:r>
          </w:p>
        </w:tc>
        <w:tc>
          <w:tcPr>
            <w:tcW w:w="1131" w:type="pct"/>
            <w:gridSpan w:val="3"/>
            <w:tcBorders>
              <w:top w:val="single" w:sz="4" w:space="0" w:color="auto"/>
              <w:left w:val="single" w:sz="4" w:space="0" w:color="auto"/>
              <w:bottom w:val="single" w:sz="4" w:space="0" w:color="auto"/>
              <w:right w:val="single" w:sz="4" w:space="0" w:color="auto"/>
            </w:tcBorders>
          </w:tcPr>
          <w:p w:rsidR="00E80B21" w:rsidRPr="00E80B21" w:rsidRDefault="00E80B21" w:rsidP="00E80B21">
            <w:pPr>
              <w:spacing w:line="240" w:lineRule="atLeast"/>
              <w:rPr>
                <w:rFonts w:ascii="PT Astra Serif" w:hAnsi="PT Astra Serif"/>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горизобуч</m:t>
                    </m:r>
                  </m:sub>
                </m:sSub>
                <m:r>
                  <w:rPr>
                    <w:rFonts w:ascii="Cambria Math" w:hAnsi="Cambria Math"/>
                    <w:sz w:val="24"/>
                    <w:szCs w:val="24"/>
                  </w:rPr>
                  <m:t xml:space="preserve">= </m:t>
                </m:r>
                <m:sSub>
                  <m:sSubPr>
                    <m:ctrlPr>
                      <w:rPr>
                        <w:rFonts w:ascii="Cambria Math" w:hAnsi="Cambria Math"/>
                        <w:i/>
                        <w:sz w:val="24"/>
                        <w:szCs w:val="24"/>
                        <w:lang w:val="en-US"/>
                      </w:rPr>
                    </m:ctrlPr>
                  </m:sSubPr>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горизобуч</m:t>
                                </m:r>
                              </m:sub>
                            </m:sSub>
                          </m:e>
                        </m:nary>
                        <m:ctrlPr>
                          <w:rPr>
                            <w:rFonts w:ascii="Cambria Math" w:hAnsi="Cambria Math"/>
                            <w:i/>
                            <w:sz w:val="24"/>
                            <w:szCs w:val="24"/>
                          </w:rPr>
                        </m:ctrlPr>
                      </m:num>
                      <m:den>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всего</m:t>
                                </m:r>
                              </m:sub>
                            </m:sSub>
                          </m:e>
                        </m:nary>
                      </m:den>
                    </m:f>
                    <m:ctrlPr>
                      <w:rPr>
                        <w:rFonts w:ascii="Cambria Math" w:hAnsi="Cambria Math"/>
                        <w:i/>
                        <w:sz w:val="24"/>
                        <w:szCs w:val="24"/>
                      </w:rPr>
                    </m:ctrlPr>
                  </m:e>
                  <m:sub/>
                </m:sSub>
                <m:r>
                  <w:rPr>
                    <w:rFonts w:ascii="Cambria Math" w:hAnsi="Cambria Math"/>
                    <w:sz w:val="24"/>
                    <w:szCs w:val="24"/>
                    <w:lang w:val="en-US"/>
                  </w:rPr>
                  <m:t>×100</m:t>
                </m:r>
              </m:oMath>
            </m:oMathPara>
          </w:p>
          <w:p w:rsidR="00E80B21" w:rsidRPr="00C61D0C" w:rsidRDefault="00E80B21" w:rsidP="00E80B21">
            <w:pPr>
              <w:spacing w:line="240" w:lineRule="atLeast"/>
              <w:rPr>
                <w:rFonts w:ascii="PT Astra Serif" w:hAnsi="PT Astra Serif"/>
                <w:sz w:val="24"/>
                <w:szCs w:val="24"/>
                <w:lang w:val="en-US"/>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где: </w:t>
            </w: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proofErr w:type="spellStart"/>
            <w:r w:rsidRPr="00C61D0C">
              <w:rPr>
                <w:rFonts w:ascii="PT Astra Serif" w:hAnsi="PT Astra Serif"/>
                <w:sz w:val="24"/>
                <w:szCs w:val="24"/>
                <w:vertAlign w:val="subscript"/>
              </w:rPr>
              <w:t>горизобуч</w:t>
            </w:r>
            <w:proofErr w:type="spellEnd"/>
            <w:r w:rsidRPr="00C61D0C">
              <w:rPr>
                <w:rFonts w:ascii="PT Astra Serif" w:hAnsi="PT Astra Serif"/>
                <w:sz w:val="24"/>
                <w:szCs w:val="24"/>
                <w:vertAlign w:val="subscript"/>
              </w:rPr>
              <w:t xml:space="preserve">  </w:t>
            </w:r>
            <w:r w:rsidRPr="00C61D0C">
              <w:rPr>
                <w:rFonts w:ascii="PT Astra Serif" w:hAnsi="PT Astra Serif"/>
                <w:sz w:val="24"/>
                <w:szCs w:val="24"/>
              </w:rPr>
              <w:t>-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r w:rsidRPr="00C61D0C">
              <w:rPr>
                <w:rFonts w:ascii="PT Astra Serif" w:hAnsi="PT Astra Serif"/>
                <w:sz w:val="24"/>
                <w:szCs w:val="24"/>
                <w:vertAlign w:val="subscript"/>
              </w:rPr>
              <w:t xml:space="preserve">всего </w:t>
            </w:r>
            <w:r w:rsidRPr="00C61D0C">
              <w:rPr>
                <w:rFonts w:ascii="PT Astra Serif" w:hAnsi="PT Astra Serif"/>
                <w:sz w:val="24"/>
                <w:szCs w:val="24"/>
              </w:rPr>
              <w:t>- общее число обучающихся по программам общего образования и среднего профессионального образования</w:t>
            </w:r>
          </w:p>
          <w:p w:rsidR="00E80B21" w:rsidRPr="00C61D0C" w:rsidRDefault="00E80B21" w:rsidP="00E80B21">
            <w:pPr>
              <w:spacing w:line="240" w:lineRule="atLeast"/>
              <w:rPr>
                <w:rFonts w:ascii="PT Astra Serif" w:hAnsi="PT Astra Serif"/>
                <w:sz w:val="24"/>
                <w:szCs w:val="24"/>
              </w:rPr>
            </w:pPr>
          </w:p>
        </w:tc>
        <w:tc>
          <w:tcPr>
            <w:tcW w:w="390"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lastRenderedPageBreak/>
              <w:t>0</w:t>
            </w:r>
          </w:p>
        </w:tc>
        <w:tc>
          <w:tcPr>
            <w:tcW w:w="607"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Ведомственная отчетность</w:t>
            </w:r>
          </w:p>
        </w:tc>
        <w:tc>
          <w:tcPr>
            <w:tcW w:w="65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rPr>
                <w:rFonts w:ascii="PT Astra Serif" w:hAnsi="PT Astra Serif"/>
                <w:sz w:val="24"/>
                <w:szCs w:val="24"/>
              </w:rPr>
            </w:pPr>
            <w:r w:rsidRPr="00C61D0C">
              <w:rPr>
                <w:rFonts w:ascii="PT Astra Serif" w:hAnsi="PT Astra Serif"/>
                <w:sz w:val="24"/>
                <w:szCs w:val="24"/>
              </w:rPr>
              <w:t>Департамент образования Ямало-Ненецкого автономного округа</w:t>
            </w:r>
          </w:p>
          <w:p w:rsidR="00E80B21" w:rsidRPr="00C61D0C" w:rsidRDefault="00E80B21" w:rsidP="00E80B21">
            <w:pPr>
              <w:spacing w:line="240" w:lineRule="atLeast"/>
              <w:rPr>
                <w:rFonts w:ascii="PT Astra Serif" w:hAnsi="PT Astra Serif"/>
                <w:sz w:val="24"/>
                <w:szCs w:val="24"/>
              </w:rPr>
            </w:pPr>
          </w:p>
        </w:tc>
        <w:tc>
          <w:tcPr>
            <w:tcW w:w="495"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по Ямало-Ненецкому автономному округу</w:t>
            </w:r>
          </w:p>
        </w:tc>
        <w:tc>
          <w:tcPr>
            <w:tcW w:w="514"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1 раз в год</w:t>
            </w:r>
          </w:p>
        </w:tc>
        <w:tc>
          <w:tcPr>
            <w:tcW w:w="77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4775" w:type="pct"/>
            <w:gridSpan w:val="17"/>
            <w:tcBorders>
              <w:top w:val="single" w:sz="4" w:space="0" w:color="auto"/>
              <w:left w:val="single" w:sz="4" w:space="0" w:color="auto"/>
              <w:bottom w:val="single" w:sz="4" w:space="0" w:color="auto"/>
              <w:right w:val="single" w:sz="4" w:space="0" w:color="auto"/>
            </w:tcBorders>
            <w:hideMark/>
          </w:tcPr>
          <w:p w:rsidR="00E80B21" w:rsidRPr="00C61D0C" w:rsidRDefault="00E80B21" w:rsidP="00E80B21">
            <w:pPr>
              <w:jc w:val="center"/>
              <w:rPr>
                <w:rFonts w:ascii="PT Astra Serif" w:eastAsia="Arial Unicode MS" w:hAnsi="PT Astra Serif"/>
                <w:sz w:val="24"/>
                <w:szCs w:val="24"/>
                <w:u w:color="000000"/>
              </w:rPr>
            </w:pPr>
            <w:r w:rsidRPr="00C61D0C">
              <w:rPr>
                <w:rFonts w:ascii="PT Astra Serif" w:hAnsi="PT Astra Serif"/>
                <w:sz w:val="24"/>
                <w:szCs w:val="24"/>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r>
      <w:tr w:rsidR="00E80B21" w:rsidRPr="00C61D0C" w:rsidTr="00E8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25" w:type="pct"/>
          <w:trHeight w:val="335"/>
        </w:trPr>
        <w:tc>
          <w:tcPr>
            <w:tcW w:w="215"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jc w:val="center"/>
              <w:rPr>
                <w:rFonts w:ascii="PT Astra Serif" w:hAnsi="PT Astra Serif"/>
                <w:sz w:val="24"/>
                <w:szCs w:val="24"/>
                <w:lang w:eastAsia="en-US"/>
              </w:rPr>
            </w:pPr>
            <w:r w:rsidRPr="00C61D0C">
              <w:rPr>
                <w:rFonts w:ascii="PT Astra Serif" w:hAnsi="PT Astra Serif"/>
                <w:sz w:val="24"/>
                <w:szCs w:val="24"/>
                <w:lang w:eastAsia="en-US"/>
              </w:rPr>
              <w:t>5.</w:t>
            </w:r>
          </w:p>
        </w:tc>
        <w:tc>
          <w:tcPr>
            <w:tcW w:w="1131" w:type="pct"/>
            <w:gridSpan w:val="3"/>
            <w:tcBorders>
              <w:top w:val="single" w:sz="4" w:space="0" w:color="auto"/>
              <w:left w:val="single" w:sz="4" w:space="0" w:color="auto"/>
              <w:bottom w:val="single" w:sz="4" w:space="0" w:color="auto"/>
              <w:right w:val="single" w:sz="4" w:space="0" w:color="auto"/>
            </w:tcBorders>
          </w:tcPr>
          <w:p w:rsidR="00E80B21" w:rsidRPr="00E80B21" w:rsidRDefault="00E80B21" w:rsidP="00E80B21">
            <w:pPr>
              <w:spacing w:line="240" w:lineRule="atLeast"/>
              <w:rPr>
                <w:rFonts w:ascii="PT Astra Serif" w:hAnsi="PT Astra Serif"/>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педработ</m:t>
                    </m:r>
                  </m:sub>
                </m:sSub>
                <m:r>
                  <w:rPr>
                    <w:rFonts w:ascii="Cambria Math" w:hAnsi="Cambria Math"/>
                    <w:sz w:val="24"/>
                    <w:szCs w:val="24"/>
                  </w:rPr>
                  <m:t xml:space="preserve">= </m:t>
                </m:r>
                <m:sSub>
                  <m:sSubPr>
                    <m:ctrlPr>
                      <w:rPr>
                        <w:rFonts w:ascii="Cambria Math" w:hAnsi="Cambria Math"/>
                        <w:i/>
                        <w:sz w:val="24"/>
                        <w:szCs w:val="24"/>
                        <w:lang w:val="en-US"/>
                      </w:rPr>
                    </m:ctrlPr>
                  </m:sSubPr>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педработ</m:t>
                                </m:r>
                              </m:sub>
                            </m:sSub>
                          </m:e>
                        </m:nary>
                        <m:ctrlPr>
                          <w:rPr>
                            <w:rFonts w:ascii="Cambria Math" w:hAnsi="Cambria Math"/>
                            <w:i/>
                            <w:sz w:val="24"/>
                            <w:szCs w:val="24"/>
                          </w:rPr>
                        </m:ctrlPr>
                      </m:num>
                      <m:den>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всего</m:t>
                                </m:r>
                              </m:sub>
                            </m:sSub>
                          </m:e>
                        </m:nary>
                      </m:den>
                    </m:f>
                    <m:ctrlPr>
                      <w:rPr>
                        <w:rFonts w:ascii="Cambria Math" w:hAnsi="Cambria Math"/>
                        <w:i/>
                        <w:sz w:val="24"/>
                        <w:szCs w:val="24"/>
                      </w:rPr>
                    </m:ctrlPr>
                  </m:e>
                  <m:sub/>
                </m:sSub>
                <m:r>
                  <w:rPr>
                    <w:rFonts w:ascii="Cambria Math" w:hAnsi="Cambria Math"/>
                    <w:sz w:val="24"/>
                    <w:szCs w:val="24"/>
                    <w:lang w:val="en-US"/>
                  </w:rPr>
                  <m:t>×100</m:t>
                </m:r>
              </m:oMath>
            </m:oMathPara>
          </w:p>
          <w:p w:rsidR="00E80B21" w:rsidRPr="00C61D0C" w:rsidRDefault="00E80B21" w:rsidP="00E80B21">
            <w:pPr>
              <w:spacing w:line="240" w:lineRule="atLeast"/>
              <w:rPr>
                <w:rFonts w:ascii="PT Astra Serif" w:hAnsi="PT Astra Serif"/>
                <w:sz w:val="24"/>
                <w:szCs w:val="24"/>
                <w:lang w:val="en-US"/>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 xml:space="preserve">где: </w:t>
            </w: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proofErr w:type="spellStart"/>
            <w:r w:rsidRPr="00C61D0C">
              <w:rPr>
                <w:rFonts w:ascii="PT Astra Serif" w:hAnsi="PT Astra Serif"/>
                <w:sz w:val="24"/>
                <w:szCs w:val="24"/>
                <w:vertAlign w:val="subscript"/>
              </w:rPr>
              <w:t>педработ</w:t>
            </w:r>
            <w:proofErr w:type="spellEnd"/>
            <w:r w:rsidRPr="00C61D0C">
              <w:rPr>
                <w:rFonts w:ascii="PT Astra Serif" w:hAnsi="PT Astra Serif"/>
                <w:sz w:val="24"/>
                <w:szCs w:val="24"/>
              </w:rPr>
              <w:t xml:space="preserve">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E80B21" w:rsidRPr="00C61D0C" w:rsidRDefault="00E80B21" w:rsidP="00E80B21">
            <w:pPr>
              <w:spacing w:line="240" w:lineRule="atLeast"/>
              <w:rPr>
                <w:rFonts w:ascii="PT Astra Serif" w:hAnsi="PT Astra Serif"/>
                <w:sz w:val="24"/>
                <w:szCs w:val="24"/>
              </w:rPr>
            </w:pPr>
          </w:p>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lang w:val="en-US"/>
              </w:rPr>
              <w:t>Y</w:t>
            </w:r>
            <w:r w:rsidRPr="00C61D0C">
              <w:rPr>
                <w:rFonts w:ascii="PT Astra Serif" w:hAnsi="PT Astra Serif"/>
                <w:sz w:val="24"/>
                <w:szCs w:val="24"/>
                <w:vertAlign w:val="subscript"/>
              </w:rPr>
              <w:t xml:space="preserve">всего </w:t>
            </w:r>
            <w:r w:rsidRPr="00C61D0C">
              <w:rPr>
                <w:rFonts w:ascii="PT Astra Serif" w:hAnsi="PT Astra Serif"/>
                <w:sz w:val="24"/>
                <w:szCs w:val="24"/>
              </w:rPr>
              <w:t>- общее число педагогических работников общего образования</w:t>
            </w:r>
          </w:p>
        </w:tc>
        <w:tc>
          <w:tcPr>
            <w:tcW w:w="390"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0</w:t>
            </w:r>
          </w:p>
        </w:tc>
        <w:tc>
          <w:tcPr>
            <w:tcW w:w="607"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Ведомственная отчетность</w:t>
            </w:r>
          </w:p>
        </w:tc>
        <w:tc>
          <w:tcPr>
            <w:tcW w:w="65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rPr>
                <w:rFonts w:ascii="PT Astra Serif" w:hAnsi="PT Astra Serif"/>
                <w:sz w:val="24"/>
                <w:szCs w:val="24"/>
              </w:rPr>
            </w:pPr>
            <w:r w:rsidRPr="00C61D0C">
              <w:rPr>
                <w:rFonts w:ascii="PT Astra Serif" w:hAnsi="PT Astra Serif"/>
                <w:sz w:val="24"/>
                <w:szCs w:val="24"/>
              </w:rPr>
              <w:t>Департамент образования Ямало-Ненецкого автономного округа</w:t>
            </w:r>
          </w:p>
          <w:p w:rsidR="00E80B21" w:rsidRPr="00C61D0C" w:rsidRDefault="00E80B21" w:rsidP="00E80B21">
            <w:pPr>
              <w:spacing w:line="240" w:lineRule="atLeast"/>
              <w:rPr>
                <w:rFonts w:ascii="PT Astra Serif" w:hAnsi="PT Astra Serif"/>
                <w:sz w:val="24"/>
                <w:szCs w:val="24"/>
              </w:rPr>
            </w:pPr>
          </w:p>
        </w:tc>
        <w:tc>
          <w:tcPr>
            <w:tcW w:w="495" w:type="pct"/>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rPr>
                <w:rFonts w:ascii="PT Astra Serif" w:hAnsi="PT Astra Serif"/>
                <w:sz w:val="24"/>
                <w:szCs w:val="24"/>
              </w:rPr>
            </w:pPr>
            <w:r w:rsidRPr="00C61D0C">
              <w:rPr>
                <w:rFonts w:ascii="PT Astra Serif" w:hAnsi="PT Astra Serif"/>
                <w:sz w:val="24"/>
                <w:szCs w:val="24"/>
              </w:rPr>
              <w:t>по Ямало-Ненецкому автономному округу</w:t>
            </w:r>
          </w:p>
        </w:tc>
        <w:tc>
          <w:tcPr>
            <w:tcW w:w="514" w:type="pct"/>
            <w:gridSpan w:val="3"/>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r w:rsidRPr="00C61D0C">
              <w:rPr>
                <w:rFonts w:ascii="PT Astra Serif" w:hAnsi="PT Astra Serif"/>
                <w:sz w:val="24"/>
                <w:szCs w:val="24"/>
              </w:rPr>
              <w:t>1 раз в год</w:t>
            </w:r>
          </w:p>
        </w:tc>
        <w:tc>
          <w:tcPr>
            <w:tcW w:w="772" w:type="pct"/>
            <w:gridSpan w:val="2"/>
            <w:tcBorders>
              <w:top w:val="single" w:sz="4" w:space="0" w:color="auto"/>
              <w:left w:val="single" w:sz="4" w:space="0" w:color="auto"/>
              <w:bottom w:val="single" w:sz="4" w:space="0" w:color="auto"/>
              <w:right w:val="single" w:sz="4" w:space="0" w:color="auto"/>
            </w:tcBorders>
          </w:tcPr>
          <w:p w:rsidR="00E80B21" w:rsidRPr="00C61D0C" w:rsidRDefault="00E80B21" w:rsidP="00E80B21">
            <w:pPr>
              <w:spacing w:line="240" w:lineRule="atLeast"/>
              <w:jc w:val="center"/>
              <w:rPr>
                <w:rFonts w:ascii="PT Astra Serif" w:hAnsi="PT Astra Serif"/>
                <w:sz w:val="24"/>
                <w:szCs w:val="24"/>
              </w:rPr>
            </w:pPr>
          </w:p>
        </w:tc>
      </w:tr>
    </w:tbl>
    <w:p w:rsidR="00E80B21" w:rsidRDefault="00E80B21" w:rsidP="00E80B21"/>
    <w:sectPr w:rsidR="00E80B21">
      <w:pgSz w:w="16834" w:h="1190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CF7180"/>
    <w:rsid w:val="00512758"/>
    <w:rsid w:val="00BC2F36"/>
    <w:rsid w:val="00CF7180"/>
    <w:rsid w:val="00E8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B21"/>
    <w:rPr>
      <w:rFonts w:ascii="Tahoma" w:hAnsi="Tahoma" w:cs="Tahoma"/>
      <w:sz w:val="16"/>
      <w:szCs w:val="16"/>
    </w:rPr>
  </w:style>
  <w:style w:type="character" w:customStyle="1" w:styleId="a4">
    <w:name w:val="Текст выноски Знак"/>
    <w:basedOn w:val="a0"/>
    <w:link w:val="a3"/>
    <w:uiPriority w:val="99"/>
    <w:semiHidden/>
    <w:rsid w:val="00E80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B21"/>
    <w:rPr>
      <w:rFonts w:ascii="Tahoma" w:hAnsi="Tahoma" w:cs="Tahoma"/>
      <w:sz w:val="16"/>
      <w:szCs w:val="16"/>
    </w:rPr>
  </w:style>
  <w:style w:type="character" w:customStyle="1" w:styleId="a4">
    <w:name w:val="Текст выноски Знак"/>
    <w:basedOn w:val="a0"/>
    <w:link w:val="a3"/>
    <w:uiPriority w:val="99"/>
    <w:semiHidden/>
    <w:rsid w:val="00E80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94</Pages>
  <Words>18572</Words>
  <Characters>105866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RP_Cifrovaya_obrazovatel'naya_sreda_(YANAO)</vt:lpstr>
    </vt:vector>
  </TitlesOfParts>
  <Company>Stimulsoft Reports 2018.2.2 from 26 April 2018</Company>
  <LinksUpToDate>false</LinksUpToDate>
  <CharactersWithSpaces>124190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RP_Cifrovaya_obrazovatel'naya_sreda_(YANAO)</dc:title>
  <dc:subject>RP_Cifrovaya_obrazovatel'naya_sreda_(YANAO)</dc:subject>
  <dc:creator>Предеина Александра Ивановна</dc:creator>
  <cp:lastModifiedBy>Предеина Александра Ивановна</cp:lastModifiedBy>
  <cp:revision>3</cp:revision>
  <dcterms:created xsi:type="dcterms:W3CDTF">2019-06-09T11:09:00Z</dcterms:created>
  <dcterms:modified xsi:type="dcterms:W3CDTF">2019-06-09T11:19:00Z</dcterms:modified>
</cp:coreProperties>
</file>